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4D7AE" w14:textId="77777777" w:rsidR="000A1504" w:rsidRPr="00F2527B" w:rsidRDefault="000A1504" w:rsidP="007916F2">
      <w:pPr>
        <w:ind w:left="5529"/>
        <w:rPr>
          <w:bCs/>
          <w:szCs w:val="24"/>
        </w:rPr>
      </w:pPr>
      <w:bookmarkStart w:id="0" w:name="_GoBack"/>
      <w:bookmarkEnd w:id="0"/>
      <w:r w:rsidRPr="00F2527B">
        <w:rPr>
          <w:bCs/>
          <w:szCs w:val="24"/>
        </w:rPr>
        <w:t>PATVIRTINTA</w:t>
      </w:r>
    </w:p>
    <w:p w14:paraId="1EF0265A" w14:textId="77777777" w:rsidR="007916F2" w:rsidRDefault="000A1504" w:rsidP="007916F2">
      <w:pPr>
        <w:ind w:left="5529"/>
        <w:rPr>
          <w:bCs/>
          <w:szCs w:val="24"/>
        </w:rPr>
      </w:pPr>
      <w:r w:rsidRPr="00F2527B">
        <w:rPr>
          <w:bCs/>
          <w:szCs w:val="24"/>
        </w:rPr>
        <w:t xml:space="preserve">Šiaulių rajono savivaldybės tarybos </w:t>
      </w:r>
    </w:p>
    <w:p w14:paraId="3A730E7F" w14:textId="7DFC0716" w:rsidR="000A1504" w:rsidRPr="00F2527B" w:rsidRDefault="000A1504" w:rsidP="007916F2">
      <w:pPr>
        <w:ind w:left="5529"/>
        <w:rPr>
          <w:bCs/>
          <w:szCs w:val="24"/>
        </w:rPr>
      </w:pPr>
      <w:r w:rsidRPr="00F2527B">
        <w:rPr>
          <w:bCs/>
          <w:szCs w:val="24"/>
        </w:rPr>
        <w:t>2022 m. kovo 22 d. sprendimu Nr. T-</w:t>
      </w:r>
      <w:r w:rsidR="007916F2">
        <w:rPr>
          <w:bCs/>
          <w:szCs w:val="24"/>
        </w:rPr>
        <w:t>68</w:t>
      </w:r>
    </w:p>
    <w:p w14:paraId="00B73FE0" w14:textId="77777777" w:rsidR="000A1504" w:rsidRPr="00F2527B" w:rsidRDefault="000A1504" w:rsidP="00B81415">
      <w:pPr>
        <w:tabs>
          <w:tab w:val="left" w:pos="14656"/>
        </w:tabs>
        <w:jc w:val="center"/>
        <w:rPr>
          <w:b/>
          <w:szCs w:val="24"/>
          <w:lang w:eastAsia="lt-LT"/>
        </w:rPr>
      </w:pPr>
    </w:p>
    <w:p w14:paraId="2783D9FB" w14:textId="567C7C3E" w:rsidR="00AA2C2F" w:rsidRPr="00F2527B" w:rsidRDefault="00C81981" w:rsidP="00B81415">
      <w:pPr>
        <w:tabs>
          <w:tab w:val="left" w:pos="14656"/>
        </w:tabs>
        <w:jc w:val="center"/>
        <w:rPr>
          <w:b/>
          <w:szCs w:val="24"/>
          <w:lang w:eastAsia="lt-LT"/>
        </w:rPr>
      </w:pPr>
      <w:r w:rsidRPr="00F2527B">
        <w:rPr>
          <w:b/>
          <w:szCs w:val="24"/>
          <w:lang w:eastAsia="lt-LT"/>
        </w:rPr>
        <w:t>ŠIAULIŲ R. KURŠĖNŲ LOPŠELIS-DARŽELIS</w:t>
      </w:r>
      <w:r w:rsidR="0046792C" w:rsidRPr="00F2527B">
        <w:rPr>
          <w:b/>
          <w:szCs w:val="24"/>
          <w:lang w:eastAsia="lt-LT"/>
        </w:rPr>
        <w:t xml:space="preserve"> „ŽIEDELIS“</w:t>
      </w:r>
    </w:p>
    <w:p w14:paraId="084E2DE8" w14:textId="77777777" w:rsidR="00D3392F" w:rsidRPr="00F2527B" w:rsidRDefault="00D3392F" w:rsidP="00B81415">
      <w:pPr>
        <w:tabs>
          <w:tab w:val="left" w:pos="14656"/>
        </w:tabs>
        <w:jc w:val="center"/>
        <w:rPr>
          <w:b/>
          <w:szCs w:val="24"/>
          <w:lang w:eastAsia="lt-LT"/>
        </w:rPr>
      </w:pPr>
    </w:p>
    <w:p w14:paraId="6E357634" w14:textId="6112D203" w:rsidR="00AA2C2F" w:rsidRPr="00F2527B" w:rsidRDefault="0046792C" w:rsidP="00B81415">
      <w:pPr>
        <w:jc w:val="center"/>
        <w:rPr>
          <w:b/>
          <w:szCs w:val="24"/>
          <w:lang w:eastAsia="lt-LT"/>
        </w:rPr>
      </w:pPr>
      <w:r w:rsidRPr="00F2527B">
        <w:rPr>
          <w:b/>
          <w:szCs w:val="24"/>
          <w:lang w:eastAsia="lt-LT"/>
        </w:rPr>
        <w:t>2021</w:t>
      </w:r>
      <w:r w:rsidR="00C81981" w:rsidRPr="00F2527B">
        <w:rPr>
          <w:b/>
          <w:szCs w:val="24"/>
          <w:lang w:eastAsia="lt-LT"/>
        </w:rPr>
        <w:t xml:space="preserve"> </w:t>
      </w:r>
      <w:r w:rsidR="000C1058" w:rsidRPr="00F2527B">
        <w:rPr>
          <w:b/>
          <w:szCs w:val="24"/>
          <w:lang w:eastAsia="lt-LT"/>
        </w:rPr>
        <w:t>METŲ VEIKLOS ATASKAITA</w:t>
      </w:r>
    </w:p>
    <w:p w14:paraId="14049743" w14:textId="77777777" w:rsidR="00AA2C2F" w:rsidRPr="00F2527B" w:rsidRDefault="00AA2C2F" w:rsidP="00B81415">
      <w:pPr>
        <w:jc w:val="center"/>
        <w:rPr>
          <w:szCs w:val="24"/>
          <w:lang w:eastAsia="lt-LT"/>
        </w:rPr>
      </w:pPr>
    </w:p>
    <w:p w14:paraId="3A7B22B4" w14:textId="77777777" w:rsidR="00AA2C2F" w:rsidRPr="00F2527B" w:rsidRDefault="00AA2C2F" w:rsidP="00B81415">
      <w:pPr>
        <w:jc w:val="center"/>
        <w:rPr>
          <w:lang w:eastAsia="lt-LT"/>
        </w:rPr>
      </w:pPr>
    </w:p>
    <w:p w14:paraId="20EF19AD" w14:textId="3C9631D8" w:rsidR="00AA2C2F" w:rsidRPr="00F2527B" w:rsidRDefault="000C1058" w:rsidP="00B81415">
      <w:pPr>
        <w:jc w:val="center"/>
        <w:rPr>
          <w:b/>
          <w:szCs w:val="24"/>
          <w:lang w:eastAsia="lt-LT"/>
        </w:rPr>
      </w:pPr>
      <w:r w:rsidRPr="00F2527B">
        <w:rPr>
          <w:b/>
          <w:szCs w:val="24"/>
          <w:lang w:eastAsia="lt-LT"/>
        </w:rPr>
        <w:t>I SKYRIUS</w:t>
      </w:r>
    </w:p>
    <w:p w14:paraId="05239BED" w14:textId="77777777" w:rsidR="00B126CB" w:rsidRPr="00F2527B" w:rsidRDefault="00B126CB" w:rsidP="00B126CB">
      <w:pPr>
        <w:tabs>
          <w:tab w:val="left" w:pos="2124"/>
        </w:tabs>
        <w:jc w:val="center"/>
        <w:rPr>
          <w:b/>
          <w:szCs w:val="24"/>
          <w:lang w:eastAsia="lt-LT"/>
        </w:rPr>
      </w:pPr>
      <w:r w:rsidRPr="00F2527B">
        <w:rPr>
          <w:b/>
          <w:szCs w:val="24"/>
          <w:lang w:eastAsia="lt-LT"/>
        </w:rPr>
        <w:t>STRATEGINIO PLANO IR METINIO VEIKLOS PLANO ĮGYVENDINIMAS</w:t>
      </w:r>
    </w:p>
    <w:p w14:paraId="59BB6521" w14:textId="77777777" w:rsidR="00B126CB" w:rsidRPr="00F2527B" w:rsidRDefault="00B126CB" w:rsidP="00B81415">
      <w:pPr>
        <w:jc w:val="center"/>
        <w:rPr>
          <w:b/>
          <w:szCs w:val="24"/>
          <w:lang w:eastAsia="lt-LT"/>
        </w:rPr>
      </w:pPr>
    </w:p>
    <w:p w14:paraId="690304A2" w14:textId="1C2BBBF4" w:rsidR="009B6530" w:rsidRPr="00F2527B" w:rsidRDefault="00B126CB" w:rsidP="00B81415">
      <w:pPr>
        <w:jc w:val="center"/>
        <w:rPr>
          <w:b/>
          <w:szCs w:val="24"/>
          <w:lang w:eastAsia="lt-LT"/>
        </w:rPr>
      </w:pPr>
      <w:r w:rsidRPr="00F2527B">
        <w:rPr>
          <w:b/>
          <w:szCs w:val="24"/>
          <w:lang w:eastAsia="lt-LT"/>
        </w:rPr>
        <w:t>Bendroji dalis</w:t>
      </w:r>
    </w:p>
    <w:p w14:paraId="01DF9588" w14:textId="77777777" w:rsidR="009B6530" w:rsidRPr="00F2527B" w:rsidRDefault="009B6530" w:rsidP="00B81415">
      <w:pPr>
        <w:jc w:val="center"/>
        <w:rPr>
          <w:b/>
          <w:szCs w:val="24"/>
          <w:lang w:eastAsia="lt-LT"/>
        </w:rPr>
      </w:pPr>
    </w:p>
    <w:p w14:paraId="2FFC2B70" w14:textId="4B7A2883" w:rsidR="002A3158" w:rsidRPr="00F2527B" w:rsidRDefault="002A3158" w:rsidP="00EE656C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F2527B">
        <w:t xml:space="preserve">Šiaulių rajono savivaldybės tarybos 2021 m. gruodžio 21 d. sprendimu </w:t>
      </w:r>
      <w:r w:rsidR="007F28A6" w:rsidRPr="00F2527B">
        <w:t xml:space="preserve">Nr. </w:t>
      </w:r>
      <w:r w:rsidRPr="00F2527B">
        <w:t>T-371</w:t>
      </w:r>
      <w:r w:rsidR="00FB5205">
        <w:t xml:space="preserve"> „Dėl </w:t>
      </w:r>
      <w:r w:rsidRPr="00F2527B">
        <w:t xml:space="preserve"> </w:t>
      </w:r>
      <w:r w:rsidR="00EB37F1">
        <w:t>Š</w:t>
      </w:r>
      <w:r w:rsidR="00EB37F1" w:rsidRPr="00EB37F1">
        <w:t>iaulių r. Kuršėnų lopšelio-darželio pavadinimo pakeitimo ir nuostatų patvirtinimo</w:t>
      </w:r>
      <w:r w:rsidR="00EB37F1">
        <w:t xml:space="preserve">“ </w:t>
      </w:r>
      <w:r w:rsidRPr="00F2527B">
        <w:t>pakeistas Šiaulių r. Kuršėnų lopšelio-darželio pavadinimas į Šiaulių r. Kuršėnų lopšelį-darželį „Žiedelis“ (toliau – Lopšeli</w:t>
      </w:r>
      <w:r w:rsidR="008F20A1" w:rsidRPr="00F2527B">
        <w:t>s</w:t>
      </w:r>
      <w:r w:rsidRPr="00F2527B">
        <w:t>-darželis).</w:t>
      </w:r>
    </w:p>
    <w:p w14:paraId="60D278D5" w14:textId="30271D09" w:rsidR="008A18CA" w:rsidRPr="00F2527B" w:rsidRDefault="008A18CA" w:rsidP="00EE656C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F2527B">
        <w:rPr>
          <w:szCs w:val="24"/>
        </w:rPr>
        <w:t>Lopšelis-</w:t>
      </w:r>
      <w:r w:rsidR="002A3158" w:rsidRPr="00F2527B">
        <w:rPr>
          <w:szCs w:val="24"/>
        </w:rPr>
        <w:t>darželis</w:t>
      </w:r>
      <w:r w:rsidRPr="00F2527B">
        <w:rPr>
          <w:szCs w:val="24"/>
        </w:rPr>
        <w:t xml:space="preserve"> sėkmingai </w:t>
      </w:r>
      <w:r w:rsidR="002A3158" w:rsidRPr="00F2527B">
        <w:rPr>
          <w:szCs w:val="24"/>
        </w:rPr>
        <w:t xml:space="preserve">įgyvendina savo veiklą </w:t>
      </w:r>
      <w:r w:rsidR="00C70E8F" w:rsidRPr="00F2527B">
        <w:rPr>
          <w:szCs w:val="24"/>
        </w:rPr>
        <w:t>dviejuose pastatuose, skirtingais adresais (Liepų al. 3 ir Daugėlių g. 74).</w:t>
      </w:r>
    </w:p>
    <w:p w14:paraId="48C8A6EA" w14:textId="25D3C717" w:rsidR="009B6530" w:rsidRPr="00F2527B" w:rsidRDefault="009B6530" w:rsidP="00EE656C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F2527B">
        <w:rPr>
          <w:szCs w:val="24"/>
        </w:rPr>
        <w:t xml:space="preserve">Lyginant trijų metų duomenis, ugdytinių skaičius Lopšelyje-darželyje išlieka stabilus </w:t>
      </w:r>
      <w:r w:rsidR="00B126CB" w:rsidRPr="00F2527B">
        <w:rPr>
          <w:szCs w:val="24"/>
        </w:rPr>
        <w:t>–</w:t>
      </w:r>
      <w:r w:rsidRPr="00F2527B">
        <w:rPr>
          <w:szCs w:val="24"/>
        </w:rPr>
        <w:t xml:space="preserve"> 181: Liepų al. 3 – 75 ugdytiniai, Daugėlių g. 74 – 106</w:t>
      </w:r>
      <w:r w:rsidR="008F20A1" w:rsidRPr="00F2527B">
        <w:rPr>
          <w:szCs w:val="24"/>
        </w:rPr>
        <w:t xml:space="preserve"> ugdytiniai</w:t>
      </w:r>
      <w:r w:rsidRPr="00F2527B">
        <w:rPr>
          <w:szCs w:val="24"/>
        </w:rPr>
        <w:t xml:space="preserve">. </w:t>
      </w:r>
    </w:p>
    <w:p w14:paraId="68C7565B" w14:textId="623D403A" w:rsidR="004D2651" w:rsidRPr="00F2527B" w:rsidRDefault="009B6530" w:rsidP="00EE656C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F2527B">
        <w:rPr>
          <w:szCs w:val="24"/>
        </w:rPr>
        <w:t>2021</w:t>
      </w:r>
      <w:r w:rsidR="0024795D" w:rsidRPr="00F2527B">
        <w:rPr>
          <w:szCs w:val="24"/>
        </w:rPr>
        <w:t xml:space="preserve"> m.</w:t>
      </w:r>
      <w:r w:rsidRPr="00F2527B">
        <w:rPr>
          <w:szCs w:val="24"/>
        </w:rPr>
        <w:t xml:space="preserve"> gruodžio 31 d. duomenimis</w:t>
      </w:r>
      <w:bookmarkStart w:id="1" w:name="_Hlk29913136"/>
      <w:r w:rsidRPr="00F2527B">
        <w:rPr>
          <w:szCs w:val="24"/>
        </w:rPr>
        <w:t>, Vaikų priėmimo į Šiaulių rajono savivaldybės ikimokyklinio / priešmokyklinio ugdymo grupes informacinėje sistem</w:t>
      </w:r>
      <w:bookmarkEnd w:id="1"/>
      <w:r w:rsidRPr="00F2527B">
        <w:rPr>
          <w:szCs w:val="24"/>
        </w:rPr>
        <w:t xml:space="preserve">oje pateikti 63 tėvų (globėjų) prašymai </w:t>
      </w:r>
      <w:r w:rsidR="00B126CB" w:rsidRPr="00F2527B">
        <w:rPr>
          <w:szCs w:val="24"/>
        </w:rPr>
        <w:t>l</w:t>
      </w:r>
      <w:r w:rsidRPr="00F2527B">
        <w:rPr>
          <w:szCs w:val="24"/>
        </w:rPr>
        <w:t>ankyti Lopšelį-darželį</w:t>
      </w:r>
      <w:r w:rsidR="00B126CB" w:rsidRPr="00F2527B">
        <w:rPr>
          <w:szCs w:val="24"/>
        </w:rPr>
        <w:t>.</w:t>
      </w:r>
      <w:r w:rsidRPr="00F2527B">
        <w:rPr>
          <w:szCs w:val="24"/>
        </w:rPr>
        <w:t xml:space="preserve"> </w:t>
      </w:r>
      <w:r w:rsidR="00B126CB" w:rsidRPr="00F2527B">
        <w:rPr>
          <w:szCs w:val="24"/>
        </w:rPr>
        <w:t>N</w:t>
      </w:r>
      <w:r w:rsidRPr="00F2527B">
        <w:rPr>
          <w:szCs w:val="24"/>
        </w:rPr>
        <w:t xml:space="preserve">uo 2022 m. rugsėjo 1 d. </w:t>
      </w:r>
      <w:r w:rsidR="00B126CB" w:rsidRPr="00F2527B">
        <w:rPr>
          <w:szCs w:val="24"/>
        </w:rPr>
        <w:t xml:space="preserve">Lopšelį-darželį lankyti </w:t>
      </w:r>
      <w:r w:rsidR="00F441FE" w:rsidRPr="00F2527B">
        <w:rPr>
          <w:szCs w:val="24"/>
        </w:rPr>
        <w:t>pageidauja 41</w:t>
      </w:r>
      <w:r w:rsidR="008F20A1" w:rsidRPr="00F2527B">
        <w:rPr>
          <w:szCs w:val="24"/>
        </w:rPr>
        <w:t xml:space="preserve"> vaikas</w:t>
      </w:r>
      <w:r w:rsidRPr="00F2527B">
        <w:rPr>
          <w:szCs w:val="24"/>
        </w:rPr>
        <w:t xml:space="preserve">, iš jų </w:t>
      </w:r>
      <w:r w:rsidR="00D44304" w:rsidRPr="00F2527B">
        <w:rPr>
          <w:szCs w:val="24"/>
        </w:rPr>
        <w:t>27 vaikai</w:t>
      </w:r>
      <w:r w:rsidRPr="00F2527B">
        <w:rPr>
          <w:szCs w:val="24"/>
        </w:rPr>
        <w:t>, kurių deklaruota gyvenamoji vieta Šiaulių rajono savivaldybės tarybos 2016 m. kovo 31 d. sprendimu Nr. T-147 „Dėl Šiaulių rajono savivaldybės švietimo įstaigų aptarnavimo teritorijų nus</w:t>
      </w:r>
      <w:r w:rsidR="00D44304" w:rsidRPr="00F2527B">
        <w:rPr>
          <w:szCs w:val="24"/>
        </w:rPr>
        <w:t>tatymo“ (su visais pakeitimais)</w:t>
      </w:r>
      <w:r w:rsidRPr="00F2527B">
        <w:rPr>
          <w:szCs w:val="24"/>
        </w:rPr>
        <w:t xml:space="preserve"> priskirta Lopšelio-darželio aptarnavimo teritorijai.</w:t>
      </w:r>
    </w:p>
    <w:p w14:paraId="40163F23" w14:textId="0F38D2BB" w:rsidR="004D2651" w:rsidRPr="00F2527B" w:rsidRDefault="004D2651" w:rsidP="00EE656C">
      <w:pPr>
        <w:pStyle w:val="Sraopastraipa"/>
        <w:tabs>
          <w:tab w:val="left" w:pos="851"/>
        </w:tabs>
        <w:ind w:left="0" w:firstLine="567"/>
        <w:rPr>
          <w:color w:val="auto"/>
          <w:sz w:val="24"/>
          <w:szCs w:val="24"/>
        </w:rPr>
      </w:pPr>
      <w:r w:rsidRPr="00F2527B">
        <w:rPr>
          <w:color w:val="auto"/>
          <w:sz w:val="24"/>
          <w:szCs w:val="24"/>
        </w:rPr>
        <w:t xml:space="preserve">2021 </w:t>
      </w:r>
      <w:r w:rsidR="0024795D" w:rsidRPr="00F2527B">
        <w:rPr>
          <w:color w:val="auto"/>
          <w:sz w:val="24"/>
          <w:szCs w:val="24"/>
        </w:rPr>
        <w:t>metais</w:t>
      </w:r>
      <w:r w:rsidRPr="00F2527B">
        <w:rPr>
          <w:color w:val="auto"/>
          <w:sz w:val="24"/>
          <w:szCs w:val="24"/>
        </w:rPr>
        <w:t xml:space="preserve"> Lopšelyje-darželyje dirbo </w:t>
      </w:r>
      <w:r w:rsidR="00243A7E" w:rsidRPr="00F2527B">
        <w:rPr>
          <w:color w:val="auto"/>
          <w:sz w:val="24"/>
          <w:szCs w:val="24"/>
        </w:rPr>
        <w:t>56</w:t>
      </w:r>
      <w:r w:rsidRPr="00F2527B">
        <w:rPr>
          <w:color w:val="auto"/>
          <w:sz w:val="24"/>
          <w:szCs w:val="24"/>
        </w:rPr>
        <w:t xml:space="preserve"> darbuotojai</w:t>
      </w:r>
      <w:r w:rsidR="00D75AEC" w:rsidRPr="00F2527B">
        <w:rPr>
          <w:color w:val="auto"/>
          <w:sz w:val="24"/>
          <w:szCs w:val="24"/>
        </w:rPr>
        <w:t xml:space="preserve"> (49</w:t>
      </w:r>
      <w:r w:rsidRPr="00F2527B">
        <w:rPr>
          <w:color w:val="auto"/>
          <w:sz w:val="24"/>
          <w:szCs w:val="24"/>
        </w:rPr>
        <w:t xml:space="preserve">,92 etatai), neviršytas leistinas pareigybių skaičius, nustatytas Šiaulių rajono savivaldybės tarybos </w:t>
      </w:r>
      <w:r w:rsidR="009A4FDA" w:rsidRPr="00F2527B">
        <w:rPr>
          <w:color w:val="auto"/>
          <w:sz w:val="24"/>
          <w:szCs w:val="24"/>
        </w:rPr>
        <w:t>2020 m. birželio 2 d. sprendimu Nr. T-200 „Dėl Šiaulių r. Kuršėnų lopšelio-darželio didžiausio leistino pareigybių skaičiaus ir jų finansavimo šaltinių nustatymo“</w:t>
      </w:r>
      <w:r w:rsidR="00D44304" w:rsidRPr="00F2527B">
        <w:rPr>
          <w:color w:val="auto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1"/>
        <w:gridCol w:w="2820"/>
        <w:gridCol w:w="2688"/>
      </w:tblGrid>
      <w:tr w:rsidR="00F2527B" w:rsidRPr="00F2527B" w14:paraId="7F524460" w14:textId="77777777" w:rsidTr="00243A7E">
        <w:tc>
          <w:tcPr>
            <w:tcW w:w="4121" w:type="dxa"/>
            <w:shd w:val="clear" w:color="auto" w:fill="auto"/>
          </w:tcPr>
          <w:p w14:paraId="3081011A" w14:textId="77777777" w:rsidR="004D2651" w:rsidRPr="00F2527B" w:rsidRDefault="004D2651" w:rsidP="00AF714E">
            <w:pPr>
              <w:jc w:val="center"/>
              <w:rPr>
                <w:szCs w:val="24"/>
              </w:rPr>
            </w:pPr>
          </w:p>
        </w:tc>
        <w:tc>
          <w:tcPr>
            <w:tcW w:w="2820" w:type="dxa"/>
            <w:shd w:val="clear" w:color="auto" w:fill="auto"/>
          </w:tcPr>
          <w:p w14:paraId="6013FEB0" w14:textId="77777777" w:rsidR="004D2651" w:rsidRPr="00F2527B" w:rsidRDefault="004D2651" w:rsidP="00AF714E">
            <w:pPr>
              <w:jc w:val="center"/>
              <w:rPr>
                <w:szCs w:val="24"/>
              </w:rPr>
            </w:pPr>
            <w:r w:rsidRPr="00F2527B">
              <w:rPr>
                <w:szCs w:val="24"/>
              </w:rPr>
              <w:t>Darbuotojų skaičius</w:t>
            </w:r>
          </w:p>
        </w:tc>
        <w:tc>
          <w:tcPr>
            <w:tcW w:w="2688" w:type="dxa"/>
            <w:shd w:val="clear" w:color="auto" w:fill="auto"/>
          </w:tcPr>
          <w:p w14:paraId="7A1E8146" w14:textId="77777777" w:rsidR="004D2651" w:rsidRPr="00F2527B" w:rsidRDefault="004D2651" w:rsidP="00AF714E">
            <w:pPr>
              <w:jc w:val="center"/>
              <w:rPr>
                <w:szCs w:val="24"/>
              </w:rPr>
            </w:pPr>
            <w:r w:rsidRPr="00F2527B">
              <w:rPr>
                <w:szCs w:val="24"/>
              </w:rPr>
              <w:t>Etatų skaičius</w:t>
            </w:r>
          </w:p>
        </w:tc>
      </w:tr>
      <w:tr w:rsidR="00F2527B" w:rsidRPr="00F2527B" w14:paraId="4E8CA8CF" w14:textId="77777777" w:rsidTr="00243A7E">
        <w:tc>
          <w:tcPr>
            <w:tcW w:w="4121" w:type="dxa"/>
            <w:shd w:val="clear" w:color="auto" w:fill="auto"/>
          </w:tcPr>
          <w:p w14:paraId="12161116" w14:textId="77777777" w:rsidR="004D2651" w:rsidRPr="00F2527B" w:rsidRDefault="004D2651" w:rsidP="00AF714E">
            <w:pPr>
              <w:rPr>
                <w:szCs w:val="24"/>
              </w:rPr>
            </w:pPr>
            <w:r w:rsidRPr="00F2527B">
              <w:rPr>
                <w:szCs w:val="24"/>
              </w:rPr>
              <w:t>Administracija (vadovai ir sekretorius)</w:t>
            </w:r>
          </w:p>
        </w:tc>
        <w:tc>
          <w:tcPr>
            <w:tcW w:w="2820" w:type="dxa"/>
            <w:shd w:val="clear" w:color="auto" w:fill="auto"/>
          </w:tcPr>
          <w:p w14:paraId="739A365B" w14:textId="0EDB4885" w:rsidR="004D2651" w:rsidRPr="00F2527B" w:rsidRDefault="00D75AEC" w:rsidP="00AF714E">
            <w:pPr>
              <w:jc w:val="center"/>
              <w:rPr>
                <w:szCs w:val="24"/>
              </w:rPr>
            </w:pPr>
            <w:r w:rsidRPr="00F2527B">
              <w:rPr>
                <w:szCs w:val="24"/>
              </w:rPr>
              <w:t>6</w:t>
            </w:r>
          </w:p>
        </w:tc>
        <w:tc>
          <w:tcPr>
            <w:tcW w:w="2688" w:type="dxa"/>
            <w:shd w:val="clear" w:color="auto" w:fill="auto"/>
          </w:tcPr>
          <w:p w14:paraId="7E243831" w14:textId="11CE3F9D" w:rsidR="004D2651" w:rsidRPr="00F2527B" w:rsidRDefault="00D75AEC" w:rsidP="00AF714E">
            <w:pPr>
              <w:jc w:val="center"/>
              <w:rPr>
                <w:szCs w:val="24"/>
              </w:rPr>
            </w:pPr>
            <w:r w:rsidRPr="00F2527B">
              <w:rPr>
                <w:szCs w:val="24"/>
              </w:rPr>
              <w:t>5,75</w:t>
            </w:r>
          </w:p>
        </w:tc>
      </w:tr>
      <w:tr w:rsidR="00F2527B" w:rsidRPr="00F2527B" w14:paraId="7B9BF34A" w14:textId="77777777" w:rsidTr="00243A7E">
        <w:tc>
          <w:tcPr>
            <w:tcW w:w="4121" w:type="dxa"/>
            <w:shd w:val="clear" w:color="auto" w:fill="auto"/>
          </w:tcPr>
          <w:p w14:paraId="0534F487" w14:textId="77777777" w:rsidR="004D2651" w:rsidRPr="00F2527B" w:rsidRDefault="004D2651" w:rsidP="00AF714E">
            <w:pPr>
              <w:rPr>
                <w:szCs w:val="24"/>
              </w:rPr>
            </w:pPr>
            <w:r w:rsidRPr="00F2527B">
              <w:rPr>
                <w:szCs w:val="24"/>
              </w:rPr>
              <w:t>Pedagoginiai darbuotojai (be vadovų)</w:t>
            </w:r>
          </w:p>
        </w:tc>
        <w:tc>
          <w:tcPr>
            <w:tcW w:w="2820" w:type="dxa"/>
            <w:shd w:val="clear" w:color="auto" w:fill="auto"/>
          </w:tcPr>
          <w:p w14:paraId="5B95A506" w14:textId="56F7B8C7" w:rsidR="004D2651" w:rsidRPr="00F2527B" w:rsidRDefault="00CA48F4" w:rsidP="00AF714E">
            <w:pPr>
              <w:jc w:val="center"/>
              <w:rPr>
                <w:szCs w:val="24"/>
              </w:rPr>
            </w:pPr>
            <w:r w:rsidRPr="00F2527B">
              <w:rPr>
                <w:szCs w:val="24"/>
              </w:rPr>
              <w:t>23</w:t>
            </w:r>
          </w:p>
        </w:tc>
        <w:tc>
          <w:tcPr>
            <w:tcW w:w="2688" w:type="dxa"/>
            <w:shd w:val="clear" w:color="auto" w:fill="auto"/>
          </w:tcPr>
          <w:p w14:paraId="16E8CA0C" w14:textId="4876711F" w:rsidR="004D2651" w:rsidRPr="00F2527B" w:rsidRDefault="00CA48F4" w:rsidP="00AF714E">
            <w:pPr>
              <w:jc w:val="center"/>
              <w:rPr>
                <w:szCs w:val="24"/>
              </w:rPr>
            </w:pPr>
            <w:r w:rsidRPr="00F2527B">
              <w:rPr>
                <w:szCs w:val="24"/>
              </w:rPr>
              <w:t>18,67</w:t>
            </w:r>
          </w:p>
        </w:tc>
      </w:tr>
      <w:tr w:rsidR="00F2527B" w:rsidRPr="00F2527B" w14:paraId="6EDF3746" w14:textId="77777777" w:rsidTr="00243A7E">
        <w:trPr>
          <w:trHeight w:val="79"/>
        </w:trPr>
        <w:tc>
          <w:tcPr>
            <w:tcW w:w="4121" w:type="dxa"/>
            <w:shd w:val="clear" w:color="auto" w:fill="auto"/>
          </w:tcPr>
          <w:p w14:paraId="28D16248" w14:textId="77777777" w:rsidR="004D2651" w:rsidRPr="00F2527B" w:rsidRDefault="004D2651" w:rsidP="00AF714E">
            <w:pPr>
              <w:rPr>
                <w:szCs w:val="24"/>
              </w:rPr>
            </w:pPr>
            <w:r w:rsidRPr="00F2527B">
              <w:rPr>
                <w:szCs w:val="24"/>
              </w:rPr>
              <w:t>Kiti darbuotojai</w:t>
            </w:r>
          </w:p>
        </w:tc>
        <w:tc>
          <w:tcPr>
            <w:tcW w:w="2820" w:type="dxa"/>
            <w:shd w:val="clear" w:color="auto" w:fill="auto"/>
          </w:tcPr>
          <w:p w14:paraId="03B43C80" w14:textId="56706285" w:rsidR="004D2651" w:rsidRPr="00F2527B" w:rsidRDefault="00243A7E" w:rsidP="00AF714E">
            <w:pPr>
              <w:jc w:val="center"/>
              <w:rPr>
                <w:szCs w:val="24"/>
              </w:rPr>
            </w:pPr>
            <w:r w:rsidRPr="00F2527B">
              <w:rPr>
                <w:szCs w:val="24"/>
              </w:rPr>
              <w:t>27</w:t>
            </w:r>
          </w:p>
        </w:tc>
        <w:tc>
          <w:tcPr>
            <w:tcW w:w="2688" w:type="dxa"/>
            <w:shd w:val="clear" w:color="auto" w:fill="auto"/>
          </w:tcPr>
          <w:p w14:paraId="3481B3E5" w14:textId="47BE894C" w:rsidR="004D2651" w:rsidRPr="00F2527B" w:rsidRDefault="00243A7E" w:rsidP="00AF714E">
            <w:pPr>
              <w:jc w:val="center"/>
              <w:rPr>
                <w:szCs w:val="24"/>
              </w:rPr>
            </w:pPr>
            <w:r w:rsidRPr="00F2527B">
              <w:rPr>
                <w:szCs w:val="24"/>
              </w:rPr>
              <w:t>25,5</w:t>
            </w:r>
          </w:p>
        </w:tc>
      </w:tr>
      <w:tr w:rsidR="00F2527B" w:rsidRPr="00F2527B" w14:paraId="46A8430F" w14:textId="77777777" w:rsidTr="00243A7E">
        <w:tc>
          <w:tcPr>
            <w:tcW w:w="4121" w:type="dxa"/>
            <w:shd w:val="clear" w:color="auto" w:fill="auto"/>
          </w:tcPr>
          <w:p w14:paraId="04586587" w14:textId="77777777" w:rsidR="004D2651" w:rsidRPr="00F2527B" w:rsidRDefault="004D2651" w:rsidP="00AF714E">
            <w:pPr>
              <w:jc w:val="right"/>
              <w:rPr>
                <w:szCs w:val="24"/>
              </w:rPr>
            </w:pPr>
            <w:r w:rsidRPr="00F2527B">
              <w:rPr>
                <w:szCs w:val="24"/>
              </w:rPr>
              <w:t>Iš viso</w:t>
            </w:r>
          </w:p>
        </w:tc>
        <w:tc>
          <w:tcPr>
            <w:tcW w:w="2820" w:type="dxa"/>
            <w:shd w:val="clear" w:color="auto" w:fill="auto"/>
          </w:tcPr>
          <w:p w14:paraId="4E3BB180" w14:textId="60CB5D43" w:rsidR="004D2651" w:rsidRPr="00F2527B" w:rsidRDefault="00243A7E" w:rsidP="00AF714E">
            <w:pPr>
              <w:jc w:val="center"/>
              <w:rPr>
                <w:szCs w:val="24"/>
              </w:rPr>
            </w:pPr>
            <w:r w:rsidRPr="00F2527B">
              <w:rPr>
                <w:szCs w:val="24"/>
              </w:rPr>
              <w:t>56</w:t>
            </w:r>
          </w:p>
        </w:tc>
        <w:tc>
          <w:tcPr>
            <w:tcW w:w="2688" w:type="dxa"/>
            <w:shd w:val="clear" w:color="auto" w:fill="auto"/>
          </w:tcPr>
          <w:p w14:paraId="631563F3" w14:textId="77684875" w:rsidR="004D2651" w:rsidRPr="00F2527B" w:rsidRDefault="00D75AEC" w:rsidP="00AF714E">
            <w:pPr>
              <w:jc w:val="center"/>
              <w:rPr>
                <w:szCs w:val="24"/>
              </w:rPr>
            </w:pPr>
            <w:r w:rsidRPr="00F2527B">
              <w:rPr>
                <w:szCs w:val="24"/>
              </w:rPr>
              <w:t>49,92</w:t>
            </w:r>
          </w:p>
        </w:tc>
      </w:tr>
    </w:tbl>
    <w:p w14:paraId="54B82810" w14:textId="0C69AF36" w:rsidR="009B6530" w:rsidRPr="00F2527B" w:rsidRDefault="00D75AEC" w:rsidP="00316DBC">
      <w:pPr>
        <w:pStyle w:val="Sraopastraipa"/>
        <w:tabs>
          <w:tab w:val="left" w:pos="851"/>
        </w:tabs>
        <w:ind w:left="0" w:firstLine="567"/>
        <w:rPr>
          <w:color w:val="auto"/>
          <w:sz w:val="24"/>
          <w:szCs w:val="24"/>
        </w:rPr>
      </w:pPr>
      <w:r w:rsidRPr="00F2527B">
        <w:rPr>
          <w:color w:val="auto"/>
          <w:sz w:val="24"/>
          <w:szCs w:val="24"/>
        </w:rPr>
        <w:t>2021</w:t>
      </w:r>
      <w:r w:rsidR="004D2651" w:rsidRPr="00F2527B">
        <w:rPr>
          <w:color w:val="auto"/>
          <w:sz w:val="24"/>
          <w:szCs w:val="24"/>
        </w:rPr>
        <w:t xml:space="preserve"> metais darbo sutartys nutrauktos</w:t>
      </w:r>
      <w:r w:rsidR="00F441FE" w:rsidRPr="00F2527B">
        <w:rPr>
          <w:color w:val="auto"/>
          <w:sz w:val="24"/>
          <w:szCs w:val="24"/>
        </w:rPr>
        <w:t xml:space="preserve"> su 7</w:t>
      </w:r>
      <w:r w:rsidR="00CA48F4" w:rsidRPr="00F2527B">
        <w:rPr>
          <w:color w:val="auto"/>
          <w:sz w:val="24"/>
          <w:szCs w:val="24"/>
        </w:rPr>
        <w:t xml:space="preserve"> darbuotojais (</w:t>
      </w:r>
      <w:r w:rsidR="00F441FE" w:rsidRPr="00F2527B">
        <w:rPr>
          <w:color w:val="auto"/>
          <w:sz w:val="24"/>
          <w:szCs w:val="24"/>
        </w:rPr>
        <w:t>2</w:t>
      </w:r>
      <w:r w:rsidR="00CA48F4" w:rsidRPr="00F2527B">
        <w:rPr>
          <w:color w:val="auto"/>
          <w:sz w:val="24"/>
          <w:szCs w:val="24"/>
        </w:rPr>
        <w:t xml:space="preserve"> darbuotojas</w:t>
      </w:r>
      <w:r w:rsidR="00F441FE" w:rsidRPr="00F2527B">
        <w:rPr>
          <w:color w:val="auto"/>
          <w:sz w:val="24"/>
          <w:szCs w:val="24"/>
        </w:rPr>
        <w:t xml:space="preserve"> išvyko bendru susitarimu,</w:t>
      </w:r>
      <w:r w:rsidR="004D2651" w:rsidRPr="00F2527B">
        <w:rPr>
          <w:color w:val="auto"/>
          <w:sz w:val="24"/>
          <w:szCs w:val="24"/>
        </w:rPr>
        <w:t xml:space="preserve"> </w:t>
      </w:r>
      <w:r w:rsidR="00F441FE" w:rsidRPr="00F2527B">
        <w:rPr>
          <w:color w:val="auto"/>
          <w:sz w:val="24"/>
          <w:szCs w:val="24"/>
        </w:rPr>
        <w:t>2 – į pensiją</w:t>
      </w:r>
      <w:r w:rsidRPr="00F2527B">
        <w:rPr>
          <w:color w:val="auto"/>
          <w:sz w:val="24"/>
          <w:szCs w:val="24"/>
        </w:rPr>
        <w:t>, 3 darbuotojai nesutiko su pakeistomis darbo sąlygomis</w:t>
      </w:r>
      <w:r w:rsidR="004D2651" w:rsidRPr="00F2527B">
        <w:rPr>
          <w:color w:val="auto"/>
          <w:sz w:val="24"/>
          <w:szCs w:val="24"/>
        </w:rPr>
        <w:t>). Priimti –</w:t>
      </w:r>
      <w:r w:rsidR="00243A7E" w:rsidRPr="00F2527B">
        <w:rPr>
          <w:color w:val="auto"/>
          <w:sz w:val="24"/>
          <w:szCs w:val="24"/>
        </w:rPr>
        <w:t xml:space="preserve"> 4</w:t>
      </w:r>
      <w:r w:rsidR="004D2651" w:rsidRPr="00F2527B">
        <w:rPr>
          <w:color w:val="auto"/>
          <w:sz w:val="24"/>
          <w:szCs w:val="24"/>
        </w:rPr>
        <w:t xml:space="preserve"> darbuotojai.</w:t>
      </w:r>
    </w:p>
    <w:tbl>
      <w:tblPr>
        <w:tblpPr w:leftFromText="180" w:rightFromText="180" w:vertAnchor="text" w:horzAnchor="margin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2275"/>
        <w:gridCol w:w="2835"/>
        <w:gridCol w:w="2404"/>
      </w:tblGrid>
      <w:tr w:rsidR="00F2527B" w:rsidRPr="00F2527B" w14:paraId="1DE3AF64" w14:textId="77777777" w:rsidTr="00243A7E">
        <w:tc>
          <w:tcPr>
            <w:tcW w:w="2115" w:type="dxa"/>
            <w:shd w:val="clear" w:color="auto" w:fill="auto"/>
          </w:tcPr>
          <w:p w14:paraId="36FCF86D" w14:textId="3820EDD7" w:rsidR="004D2651" w:rsidRPr="00F2527B" w:rsidRDefault="00243A7E" w:rsidP="00AF714E">
            <w:pPr>
              <w:contextualSpacing/>
              <w:jc w:val="center"/>
              <w:rPr>
                <w:szCs w:val="24"/>
              </w:rPr>
            </w:pPr>
            <w:r w:rsidRPr="00F2527B">
              <w:rPr>
                <w:szCs w:val="24"/>
              </w:rPr>
              <w:t>Mokytojų</w:t>
            </w:r>
            <w:r w:rsidR="004D2651" w:rsidRPr="00F2527B">
              <w:rPr>
                <w:szCs w:val="24"/>
              </w:rPr>
              <w:t xml:space="preserve"> išsilavinimas</w:t>
            </w:r>
          </w:p>
        </w:tc>
        <w:tc>
          <w:tcPr>
            <w:tcW w:w="2275" w:type="dxa"/>
            <w:shd w:val="clear" w:color="auto" w:fill="auto"/>
          </w:tcPr>
          <w:p w14:paraId="21D34CD5" w14:textId="21A31D47" w:rsidR="004D2651" w:rsidRPr="00F2527B" w:rsidRDefault="00243A7E" w:rsidP="00AF714E">
            <w:pPr>
              <w:contextualSpacing/>
              <w:jc w:val="center"/>
              <w:rPr>
                <w:szCs w:val="24"/>
              </w:rPr>
            </w:pPr>
            <w:r w:rsidRPr="00F2527B">
              <w:rPr>
                <w:szCs w:val="24"/>
              </w:rPr>
              <w:t>Mokytojų</w:t>
            </w:r>
            <w:r w:rsidR="004D2651" w:rsidRPr="00F2527B">
              <w:rPr>
                <w:szCs w:val="24"/>
              </w:rPr>
              <w:t xml:space="preserve"> skaičius</w:t>
            </w:r>
          </w:p>
        </w:tc>
        <w:tc>
          <w:tcPr>
            <w:tcW w:w="2835" w:type="dxa"/>
            <w:shd w:val="clear" w:color="auto" w:fill="auto"/>
          </w:tcPr>
          <w:p w14:paraId="42375C0C" w14:textId="77777777" w:rsidR="004D2651" w:rsidRPr="00F2527B" w:rsidRDefault="004D2651" w:rsidP="00AF714E">
            <w:pPr>
              <w:contextualSpacing/>
              <w:jc w:val="center"/>
              <w:rPr>
                <w:szCs w:val="24"/>
              </w:rPr>
            </w:pPr>
            <w:r w:rsidRPr="00F2527B">
              <w:rPr>
                <w:szCs w:val="24"/>
              </w:rPr>
              <w:t>Kvalifikacinė kategorija</w:t>
            </w:r>
          </w:p>
        </w:tc>
        <w:tc>
          <w:tcPr>
            <w:tcW w:w="2404" w:type="dxa"/>
            <w:shd w:val="clear" w:color="auto" w:fill="auto"/>
          </w:tcPr>
          <w:p w14:paraId="60D31BF0" w14:textId="1748BCAD" w:rsidR="004D2651" w:rsidRPr="00F2527B" w:rsidRDefault="00243A7E" w:rsidP="00AF714E">
            <w:pPr>
              <w:contextualSpacing/>
              <w:jc w:val="center"/>
              <w:rPr>
                <w:szCs w:val="24"/>
              </w:rPr>
            </w:pPr>
            <w:r w:rsidRPr="00F2527B">
              <w:rPr>
                <w:szCs w:val="24"/>
              </w:rPr>
              <w:t>Mokytojų</w:t>
            </w:r>
            <w:r w:rsidR="004D2651" w:rsidRPr="00F2527B">
              <w:rPr>
                <w:szCs w:val="24"/>
              </w:rPr>
              <w:t xml:space="preserve"> skaičius</w:t>
            </w:r>
          </w:p>
        </w:tc>
      </w:tr>
      <w:tr w:rsidR="00F2527B" w:rsidRPr="00F2527B" w14:paraId="3841D34E" w14:textId="77777777" w:rsidTr="00243A7E">
        <w:tc>
          <w:tcPr>
            <w:tcW w:w="2115" w:type="dxa"/>
            <w:shd w:val="clear" w:color="auto" w:fill="auto"/>
          </w:tcPr>
          <w:p w14:paraId="42CC43B4" w14:textId="77777777" w:rsidR="004D2651" w:rsidRPr="00F2527B" w:rsidRDefault="004D2651" w:rsidP="00AF714E">
            <w:pPr>
              <w:contextualSpacing/>
              <w:jc w:val="center"/>
              <w:rPr>
                <w:szCs w:val="24"/>
              </w:rPr>
            </w:pPr>
            <w:r w:rsidRPr="00F2527B">
              <w:rPr>
                <w:szCs w:val="24"/>
              </w:rPr>
              <w:t>Aukštesnysis</w:t>
            </w:r>
          </w:p>
        </w:tc>
        <w:tc>
          <w:tcPr>
            <w:tcW w:w="2275" w:type="dxa"/>
            <w:shd w:val="clear" w:color="auto" w:fill="auto"/>
          </w:tcPr>
          <w:p w14:paraId="314E28F5" w14:textId="53C87D87" w:rsidR="004D2651" w:rsidRPr="00F2527B" w:rsidRDefault="00F441FE" w:rsidP="00AF714E">
            <w:pPr>
              <w:contextualSpacing/>
              <w:jc w:val="center"/>
              <w:rPr>
                <w:szCs w:val="24"/>
              </w:rPr>
            </w:pPr>
            <w:r w:rsidRPr="00F2527B">
              <w:rPr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14:paraId="1E860D4E" w14:textId="3948B4AE" w:rsidR="004D2651" w:rsidRPr="00F2527B" w:rsidRDefault="00FE7336" w:rsidP="00AF714E">
            <w:pPr>
              <w:contextualSpacing/>
              <w:rPr>
                <w:szCs w:val="24"/>
              </w:rPr>
            </w:pPr>
            <w:r w:rsidRPr="00F2527B">
              <w:rPr>
                <w:szCs w:val="24"/>
              </w:rPr>
              <w:t>Mokytojas metodininkas</w:t>
            </w:r>
          </w:p>
        </w:tc>
        <w:tc>
          <w:tcPr>
            <w:tcW w:w="2404" w:type="dxa"/>
            <w:shd w:val="clear" w:color="auto" w:fill="auto"/>
          </w:tcPr>
          <w:p w14:paraId="17B93C0F" w14:textId="29139CB2" w:rsidR="004D2651" w:rsidRPr="00F2527B" w:rsidRDefault="00FE7336" w:rsidP="00AF714E">
            <w:pPr>
              <w:contextualSpacing/>
              <w:jc w:val="center"/>
              <w:rPr>
                <w:szCs w:val="24"/>
              </w:rPr>
            </w:pPr>
            <w:r w:rsidRPr="00F2527B">
              <w:rPr>
                <w:szCs w:val="24"/>
              </w:rPr>
              <w:t>7</w:t>
            </w:r>
          </w:p>
        </w:tc>
      </w:tr>
      <w:tr w:rsidR="00F2527B" w:rsidRPr="00F2527B" w14:paraId="192CD8F8" w14:textId="77777777" w:rsidTr="00243A7E">
        <w:tc>
          <w:tcPr>
            <w:tcW w:w="2115" w:type="dxa"/>
            <w:shd w:val="clear" w:color="auto" w:fill="auto"/>
          </w:tcPr>
          <w:p w14:paraId="50543898" w14:textId="77777777" w:rsidR="004D2651" w:rsidRPr="00F2527B" w:rsidRDefault="004D2651" w:rsidP="00AF714E">
            <w:pPr>
              <w:contextualSpacing/>
              <w:jc w:val="center"/>
              <w:rPr>
                <w:szCs w:val="24"/>
              </w:rPr>
            </w:pPr>
            <w:r w:rsidRPr="00F2527B">
              <w:rPr>
                <w:szCs w:val="24"/>
              </w:rPr>
              <w:t>Aukštasis</w:t>
            </w:r>
          </w:p>
        </w:tc>
        <w:tc>
          <w:tcPr>
            <w:tcW w:w="2275" w:type="dxa"/>
            <w:shd w:val="clear" w:color="auto" w:fill="auto"/>
          </w:tcPr>
          <w:p w14:paraId="4A0BF037" w14:textId="15DC954D" w:rsidR="004D2651" w:rsidRPr="00F2527B" w:rsidRDefault="004D2651" w:rsidP="00AF714E">
            <w:pPr>
              <w:contextualSpacing/>
              <w:jc w:val="center"/>
              <w:rPr>
                <w:szCs w:val="24"/>
              </w:rPr>
            </w:pPr>
            <w:r w:rsidRPr="00F2527B">
              <w:rPr>
                <w:szCs w:val="24"/>
              </w:rPr>
              <w:t>1</w:t>
            </w:r>
            <w:r w:rsidR="00F441FE" w:rsidRPr="00F2527B">
              <w:rPr>
                <w:szCs w:val="24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14:paraId="470B5562" w14:textId="06A4BFE1" w:rsidR="004D2651" w:rsidRPr="00F2527B" w:rsidRDefault="00FE7336" w:rsidP="00AF714E">
            <w:pPr>
              <w:contextualSpacing/>
              <w:rPr>
                <w:szCs w:val="24"/>
              </w:rPr>
            </w:pPr>
            <w:r w:rsidRPr="00F2527B">
              <w:rPr>
                <w:szCs w:val="24"/>
              </w:rPr>
              <w:t>Vyresnysis mokytojas</w:t>
            </w:r>
          </w:p>
        </w:tc>
        <w:tc>
          <w:tcPr>
            <w:tcW w:w="2404" w:type="dxa"/>
            <w:shd w:val="clear" w:color="auto" w:fill="auto"/>
          </w:tcPr>
          <w:p w14:paraId="18D75D8E" w14:textId="18551418" w:rsidR="004D2651" w:rsidRPr="00F2527B" w:rsidRDefault="00FE7336" w:rsidP="00AF714E">
            <w:pPr>
              <w:contextualSpacing/>
              <w:jc w:val="center"/>
              <w:rPr>
                <w:szCs w:val="24"/>
              </w:rPr>
            </w:pPr>
            <w:r w:rsidRPr="00F2527B">
              <w:rPr>
                <w:szCs w:val="24"/>
              </w:rPr>
              <w:t>9</w:t>
            </w:r>
          </w:p>
        </w:tc>
      </w:tr>
      <w:tr w:rsidR="00F2527B" w:rsidRPr="00F2527B" w14:paraId="461F0296" w14:textId="77777777" w:rsidTr="00243A7E">
        <w:tc>
          <w:tcPr>
            <w:tcW w:w="2115" w:type="dxa"/>
            <w:shd w:val="clear" w:color="auto" w:fill="auto"/>
          </w:tcPr>
          <w:p w14:paraId="688C6766" w14:textId="228FE6CD" w:rsidR="004D2651" w:rsidRPr="00F2527B" w:rsidRDefault="00F441FE" w:rsidP="00AF714E">
            <w:pPr>
              <w:contextualSpacing/>
              <w:jc w:val="center"/>
              <w:rPr>
                <w:szCs w:val="24"/>
              </w:rPr>
            </w:pPr>
            <w:r w:rsidRPr="00F2527B">
              <w:rPr>
                <w:szCs w:val="24"/>
              </w:rPr>
              <w:t>Studijuoja</w:t>
            </w:r>
          </w:p>
        </w:tc>
        <w:tc>
          <w:tcPr>
            <w:tcW w:w="2275" w:type="dxa"/>
            <w:shd w:val="clear" w:color="auto" w:fill="auto"/>
          </w:tcPr>
          <w:p w14:paraId="6D67B4EE" w14:textId="5E8032A7" w:rsidR="004D2651" w:rsidRPr="00F2527B" w:rsidRDefault="00F441FE" w:rsidP="00AF714E">
            <w:pPr>
              <w:contextualSpacing/>
              <w:jc w:val="center"/>
              <w:rPr>
                <w:szCs w:val="24"/>
              </w:rPr>
            </w:pPr>
            <w:r w:rsidRPr="00F2527B">
              <w:rPr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14:paraId="3E94F87C" w14:textId="77777777" w:rsidR="004D2651" w:rsidRPr="00F2527B" w:rsidRDefault="004D2651" w:rsidP="00AF714E">
            <w:pPr>
              <w:contextualSpacing/>
              <w:rPr>
                <w:szCs w:val="24"/>
              </w:rPr>
            </w:pPr>
            <w:r w:rsidRPr="00F2527B">
              <w:rPr>
                <w:szCs w:val="24"/>
              </w:rPr>
              <w:t>Mokytojas</w:t>
            </w:r>
          </w:p>
        </w:tc>
        <w:tc>
          <w:tcPr>
            <w:tcW w:w="2404" w:type="dxa"/>
            <w:shd w:val="clear" w:color="auto" w:fill="auto"/>
          </w:tcPr>
          <w:p w14:paraId="740D87C8" w14:textId="67A61EDF" w:rsidR="004D2651" w:rsidRPr="00F2527B" w:rsidRDefault="00FE7336" w:rsidP="00AF714E">
            <w:pPr>
              <w:contextualSpacing/>
              <w:jc w:val="center"/>
              <w:rPr>
                <w:szCs w:val="24"/>
              </w:rPr>
            </w:pPr>
            <w:r w:rsidRPr="00F2527B">
              <w:rPr>
                <w:szCs w:val="24"/>
              </w:rPr>
              <w:t>6</w:t>
            </w:r>
          </w:p>
        </w:tc>
      </w:tr>
      <w:tr w:rsidR="00F2527B" w:rsidRPr="00F2527B" w14:paraId="4F306901" w14:textId="77777777" w:rsidTr="00243A7E">
        <w:tc>
          <w:tcPr>
            <w:tcW w:w="2115" w:type="dxa"/>
            <w:shd w:val="clear" w:color="auto" w:fill="auto"/>
          </w:tcPr>
          <w:p w14:paraId="5F407A5A" w14:textId="77777777" w:rsidR="00FE7336" w:rsidRPr="00F2527B" w:rsidRDefault="00FE7336" w:rsidP="00AF714E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2275" w:type="dxa"/>
            <w:shd w:val="clear" w:color="auto" w:fill="auto"/>
          </w:tcPr>
          <w:p w14:paraId="47A2A696" w14:textId="77777777" w:rsidR="00FE7336" w:rsidRPr="00F2527B" w:rsidRDefault="00FE7336" w:rsidP="00AF714E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5DDA4CE" w14:textId="1E69DBE0" w:rsidR="00FE7336" w:rsidRPr="00F2527B" w:rsidRDefault="00FE7336" w:rsidP="00AF714E">
            <w:pPr>
              <w:contextualSpacing/>
              <w:rPr>
                <w:szCs w:val="24"/>
              </w:rPr>
            </w:pPr>
            <w:r w:rsidRPr="00F2527B">
              <w:rPr>
                <w:szCs w:val="24"/>
              </w:rPr>
              <w:t>Neturi kvalifikacinės kategorijos</w:t>
            </w:r>
          </w:p>
        </w:tc>
        <w:tc>
          <w:tcPr>
            <w:tcW w:w="2404" w:type="dxa"/>
            <w:shd w:val="clear" w:color="auto" w:fill="auto"/>
          </w:tcPr>
          <w:p w14:paraId="63084448" w14:textId="7868E18E" w:rsidR="00FE7336" w:rsidRPr="00F2527B" w:rsidRDefault="00FE7336" w:rsidP="00AF714E">
            <w:pPr>
              <w:contextualSpacing/>
              <w:jc w:val="center"/>
              <w:rPr>
                <w:szCs w:val="24"/>
              </w:rPr>
            </w:pPr>
            <w:r w:rsidRPr="00F2527B">
              <w:rPr>
                <w:szCs w:val="24"/>
              </w:rPr>
              <w:t>4</w:t>
            </w:r>
          </w:p>
        </w:tc>
      </w:tr>
      <w:tr w:rsidR="00F2527B" w:rsidRPr="00F2527B" w14:paraId="48E75501" w14:textId="77777777" w:rsidTr="00243A7E">
        <w:tc>
          <w:tcPr>
            <w:tcW w:w="2115" w:type="dxa"/>
            <w:shd w:val="clear" w:color="auto" w:fill="auto"/>
          </w:tcPr>
          <w:p w14:paraId="2EB302F2" w14:textId="77777777" w:rsidR="004D2651" w:rsidRPr="00F2527B" w:rsidRDefault="004D2651" w:rsidP="00AF714E">
            <w:pPr>
              <w:contextualSpacing/>
              <w:jc w:val="center"/>
              <w:rPr>
                <w:szCs w:val="24"/>
              </w:rPr>
            </w:pPr>
            <w:r w:rsidRPr="00F2527B">
              <w:rPr>
                <w:szCs w:val="24"/>
              </w:rPr>
              <w:t>Iš viso</w:t>
            </w:r>
          </w:p>
        </w:tc>
        <w:tc>
          <w:tcPr>
            <w:tcW w:w="2275" w:type="dxa"/>
            <w:shd w:val="clear" w:color="auto" w:fill="auto"/>
          </w:tcPr>
          <w:p w14:paraId="2484B836" w14:textId="5CDC63C1" w:rsidR="004D2651" w:rsidRPr="00F2527B" w:rsidRDefault="00F441FE" w:rsidP="00AF714E">
            <w:pPr>
              <w:contextualSpacing/>
              <w:jc w:val="center"/>
              <w:rPr>
                <w:szCs w:val="24"/>
              </w:rPr>
            </w:pPr>
            <w:r w:rsidRPr="00F2527B">
              <w:rPr>
                <w:szCs w:val="24"/>
              </w:rPr>
              <w:t>26</w:t>
            </w:r>
          </w:p>
        </w:tc>
        <w:tc>
          <w:tcPr>
            <w:tcW w:w="2835" w:type="dxa"/>
            <w:shd w:val="clear" w:color="auto" w:fill="auto"/>
          </w:tcPr>
          <w:p w14:paraId="129BAF3C" w14:textId="77777777" w:rsidR="004D2651" w:rsidRPr="00F2527B" w:rsidRDefault="004D2651" w:rsidP="00AF714E">
            <w:pPr>
              <w:contextualSpacing/>
              <w:rPr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14:paraId="799E4C70" w14:textId="49CF4289" w:rsidR="004D2651" w:rsidRPr="00F2527B" w:rsidRDefault="00FE7336" w:rsidP="00AF714E">
            <w:pPr>
              <w:contextualSpacing/>
              <w:jc w:val="center"/>
              <w:rPr>
                <w:szCs w:val="24"/>
              </w:rPr>
            </w:pPr>
            <w:r w:rsidRPr="00F2527B">
              <w:rPr>
                <w:szCs w:val="24"/>
              </w:rPr>
              <w:t>26</w:t>
            </w:r>
          </w:p>
        </w:tc>
      </w:tr>
    </w:tbl>
    <w:p w14:paraId="6DB4EBFD" w14:textId="0153D0E6" w:rsidR="004D2651" w:rsidRPr="00F2527B" w:rsidRDefault="00930976" w:rsidP="00102530">
      <w:pPr>
        <w:tabs>
          <w:tab w:val="left" w:pos="851"/>
        </w:tabs>
        <w:spacing w:before="120"/>
        <w:ind w:firstLine="567"/>
        <w:contextualSpacing/>
        <w:jc w:val="both"/>
        <w:rPr>
          <w:szCs w:val="24"/>
        </w:rPr>
      </w:pPr>
      <w:r w:rsidRPr="00F2527B">
        <w:rPr>
          <w:szCs w:val="24"/>
        </w:rPr>
        <w:t xml:space="preserve">Keturiems </w:t>
      </w:r>
      <w:r w:rsidR="00F441FE" w:rsidRPr="00F2527B">
        <w:rPr>
          <w:szCs w:val="24"/>
        </w:rPr>
        <w:t xml:space="preserve">Lopšelio-darželio mokytojams suteiktas magistro laipsnis, </w:t>
      </w:r>
      <w:r w:rsidR="00983A02" w:rsidRPr="00F2527B">
        <w:rPr>
          <w:szCs w:val="24"/>
        </w:rPr>
        <w:t>22</w:t>
      </w:r>
      <w:r w:rsidR="004D2651" w:rsidRPr="00F2527B">
        <w:rPr>
          <w:szCs w:val="24"/>
        </w:rPr>
        <w:t xml:space="preserve"> mokytojų profesinė kvalifikacija atitinka kvalifikacinius reikalavimus, 1 mokytojas – persikvalifikuoja (turi pedagogo kvalifikaciją, bet nėra ikimokyklinio</w:t>
      </w:r>
      <w:r w:rsidR="00FE7336" w:rsidRPr="00F2527B">
        <w:rPr>
          <w:szCs w:val="24"/>
        </w:rPr>
        <w:t xml:space="preserve"> / priešmokyklinio</w:t>
      </w:r>
      <w:r w:rsidR="004D2651" w:rsidRPr="00F2527B">
        <w:rPr>
          <w:szCs w:val="24"/>
        </w:rPr>
        <w:t xml:space="preserve"> ugdymo</w:t>
      </w:r>
      <w:r w:rsidRPr="00F2527B">
        <w:rPr>
          <w:szCs w:val="24"/>
        </w:rPr>
        <w:t xml:space="preserve"> mokytojas</w:t>
      </w:r>
      <w:r w:rsidR="004D2651" w:rsidRPr="00F2527B">
        <w:rPr>
          <w:szCs w:val="24"/>
        </w:rPr>
        <w:t>)</w:t>
      </w:r>
      <w:r w:rsidR="00983A02" w:rsidRPr="00F2527B">
        <w:rPr>
          <w:szCs w:val="24"/>
        </w:rPr>
        <w:t>, 4</w:t>
      </w:r>
      <w:r w:rsidR="00FE7336" w:rsidRPr="00F2527B">
        <w:rPr>
          <w:szCs w:val="24"/>
        </w:rPr>
        <w:t xml:space="preserve"> – studijuoja</w:t>
      </w:r>
      <w:r w:rsidR="004D2651" w:rsidRPr="00F2527B">
        <w:rPr>
          <w:szCs w:val="24"/>
        </w:rPr>
        <w:t>.</w:t>
      </w:r>
    </w:p>
    <w:p w14:paraId="44087639" w14:textId="4236A7CF" w:rsidR="0076606F" w:rsidRPr="00F2527B" w:rsidRDefault="0076606F" w:rsidP="0076606F">
      <w:pPr>
        <w:ind w:firstLine="567"/>
        <w:jc w:val="both"/>
        <w:rPr>
          <w:szCs w:val="24"/>
        </w:rPr>
      </w:pPr>
      <w:r w:rsidRPr="00F2527B">
        <w:rPr>
          <w:szCs w:val="24"/>
        </w:rPr>
        <w:lastRenderedPageBreak/>
        <w:t>202</w:t>
      </w:r>
      <w:r w:rsidR="003F6F30" w:rsidRPr="00F2527B">
        <w:rPr>
          <w:szCs w:val="24"/>
        </w:rPr>
        <w:t xml:space="preserve">1 </w:t>
      </w:r>
      <w:r w:rsidRPr="00F2527B">
        <w:rPr>
          <w:szCs w:val="24"/>
        </w:rPr>
        <w:t>m. gruodžio 31 d. duomenimis, darbuotojų kasmetinių atostogų likučiai</w:t>
      </w:r>
      <w:r w:rsidR="003F6F30" w:rsidRPr="00F2527B">
        <w:rPr>
          <w:szCs w:val="24"/>
        </w:rPr>
        <w:t xml:space="preserve">: 4 darbuotojai (2 administracijos, 2 pedagoginiai darbuotojai) – 21 d. d. </w:t>
      </w:r>
      <w:r w:rsidR="00E10E8D" w:rsidRPr="00F2527B">
        <w:rPr>
          <w:szCs w:val="24"/>
        </w:rPr>
        <w:t xml:space="preserve">Atostogų likučiai susidarė dėl darbuotojų ligos ir komandiruočių poilsio dienomis. </w:t>
      </w:r>
      <w:r w:rsidR="003F6F30" w:rsidRPr="00F2527B">
        <w:rPr>
          <w:szCs w:val="24"/>
        </w:rPr>
        <w:t>Kitų darbuotojų kasmetinių atostogų likučiai</w:t>
      </w:r>
      <w:r w:rsidRPr="00F2527B">
        <w:rPr>
          <w:szCs w:val="24"/>
        </w:rPr>
        <w:t xml:space="preserve"> neviršija teisės aktais nustatyto atostogų dienų skaičiaus per metus.</w:t>
      </w:r>
    </w:p>
    <w:p w14:paraId="78BC9D5C" w14:textId="3C60F026" w:rsidR="00C70E8F" w:rsidRPr="00F2527B" w:rsidRDefault="00FE7336" w:rsidP="00102530">
      <w:pPr>
        <w:tabs>
          <w:tab w:val="left" w:pos="851"/>
        </w:tabs>
        <w:spacing w:before="120"/>
        <w:ind w:firstLine="567"/>
        <w:contextualSpacing/>
        <w:jc w:val="both"/>
        <w:rPr>
          <w:szCs w:val="24"/>
        </w:rPr>
      </w:pPr>
      <w:r w:rsidRPr="00F2527B">
        <w:rPr>
          <w:szCs w:val="24"/>
        </w:rPr>
        <w:t xml:space="preserve">Didžiuojamės profesionalių mokytojų komanda, užtikrinančių kokybišką ikimokyklinį / priešmokyklinį ugdymą. </w:t>
      </w:r>
      <w:r w:rsidR="00316517" w:rsidRPr="00F2527B">
        <w:rPr>
          <w:szCs w:val="24"/>
        </w:rPr>
        <w:t xml:space="preserve">Trys mokytojai </w:t>
      </w:r>
      <w:r w:rsidR="00632FBD" w:rsidRPr="00F2527B">
        <w:rPr>
          <w:szCs w:val="24"/>
        </w:rPr>
        <w:t>2021 metais buvo mentoriais</w:t>
      </w:r>
      <w:r w:rsidR="00316517" w:rsidRPr="00F2527B">
        <w:rPr>
          <w:szCs w:val="24"/>
        </w:rPr>
        <w:t xml:space="preserve"> Vilniaus universiteto Šiaulių akademijos studentų praktik</w:t>
      </w:r>
      <w:r w:rsidR="00632FBD" w:rsidRPr="00F2527B">
        <w:rPr>
          <w:szCs w:val="24"/>
        </w:rPr>
        <w:t>oje. V</w:t>
      </w:r>
      <w:r w:rsidR="00316517" w:rsidRPr="00F2527B">
        <w:rPr>
          <w:szCs w:val="24"/>
        </w:rPr>
        <w:t>ienam mokytojui</w:t>
      </w:r>
      <w:r w:rsidRPr="00F2527B">
        <w:rPr>
          <w:szCs w:val="24"/>
        </w:rPr>
        <w:t xml:space="preserve"> 2021 metais suteiktas </w:t>
      </w:r>
      <w:r w:rsidR="00390322" w:rsidRPr="00F2527B">
        <w:rPr>
          <w:szCs w:val="24"/>
        </w:rPr>
        <w:t xml:space="preserve">Šiaulių rajono savivaldybės </w:t>
      </w:r>
      <w:r w:rsidRPr="00F2527B">
        <w:rPr>
          <w:szCs w:val="24"/>
        </w:rPr>
        <w:t>Metų mokytojo vardas</w:t>
      </w:r>
      <w:r w:rsidR="00390322" w:rsidRPr="00F2527B">
        <w:rPr>
          <w:szCs w:val="24"/>
        </w:rPr>
        <w:t xml:space="preserve"> už inovatyvių ugdymo metodų ir informacinių technologijų taikymą, </w:t>
      </w:r>
      <w:r w:rsidR="00147CA4" w:rsidRPr="00F2527B">
        <w:rPr>
          <w:szCs w:val="24"/>
        </w:rPr>
        <w:t>STEAM ir vaikų sveikatos ugdymą, skaitmeninių ugdymo priemonių sukūrimą ir dalijimąsi sukaupta patirtimi, dalyvavimą tarptautiniuose projektuose, novatorišką bendradarbiavimą su ugdytinių tėvais.</w:t>
      </w:r>
      <w:r w:rsidR="00C70E8F" w:rsidRPr="00F2527B">
        <w:rPr>
          <w:szCs w:val="24"/>
        </w:rPr>
        <w:tab/>
      </w:r>
    </w:p>
    <w:p w14:paraId="0FB8C3DD" w14:textId="1CDB87E6" w:rsidR="00AA2C2F" w:rsidRPr="00F2527B" w:rsidRDefault="00930976" w:rsidP="009B6530">
      <w:pPr>
        <w:tabs>
          <w:tab w:val="left" w:pos="2124"/>
        </w:tabs>
        <w:jc w:val="center"/>
        <w:rPr>
          <w:b/>
          <w:szCs w:val="24"/>
          <w:lang w:eastAsia="lt-LT"/>
        </w:rPr>
      </w:pPr>
      <w:r w:rsidRPr="00F2527B">
        <w:rPr>
          <w:b/>
          <w:szCs w:val="24"/>
          <w:lang w:eastAsia="lt-LT"/>
        </w:rPr>
        <w:t>Strateginio plano ir metinio veiklos plano įgyvendinimas</w:t>
      </w:r>
    </w:p>
    <w:p w14:paraId="3F6D7AB2" w14:textId="5657E9DA" w:rsidR="005026DE" w:rsidRPr="00F2527B" w:rsidRDefault="005026DE" w:rsidP="00B81415">
      <w:pPr>
        <w:pStyle w:val="Pagrindinistekstas"/>
        <w:spacing w:after="0" w:line="240" w:lineRule="auto"/>
        <w:ind w:firstLine="709"/>
        <w:jc w:val="both"/>
        <w:rPr>
          <w:b/>
          <w:kern w:val="36"/>
        </w:rPr>
      </w:pPr>
    </w:p>
    <w:p w14:paraId="1CCB7DEF" w14:textId="6DE9AAC8" w:rsidR="00A45BB1" w:rsidRPr="00F2527B" w:rsidRDefault="009B6530" w:rsidP="00A45BB1">
      <w:pPr>
        <w:pStyle w:val="Pagrindinistekstas"/>
        <w:spacing w:after="0" w:line="240" w:lineRule="auto"/>
        <w:ind w:firstLine="709"/>
        <w:jc w:val="both"/>
      </w:pPr>
      <w:r w:rsidRPr="00F2527B">
        <w:t>2021 metais</w:t>
      </w:r>
      <w:r w:rsidR="002A3158" w:rsidRPr="00F2527B">
        <w:t xml:space="preserve"> </w:t>
      </w:r>
      <w:r w:rsidR="002A3158" w:rsidRPr="00F2527B">
        <w:rPr>
          <w:kern w:val="36"/>
        </w:rPr>
        <w:t>Lopšelio-darželio</w:t>
      </w:r>
      <w:r w:rsidRPr="00F2527B">
        <w:rPr>
          <w:kern w:val="36"/>
        </w:rPr>
        <w:t xml:space="preserve"> bendruomenė</w:t>
      </w:r>
      <w:r w:rsidR="007F28A6" w:rsidRPr="00F2527B">
        <w:rPr>
          <w:kern w:val="36"/>
        </w:rPr>
        <w:t>,</w:t>
      </w:r>
      <w:r w:rsidRPr="00F2527B">
        <w:rPr>
          <w:kern w:val="36"/>
        </w:rPr>
        <w:t xml:space="preserve"> įgyvendindama </w:t>
      </w:r>
      <w:r w:rsidRPr="00F2527B">
        <w:t>2021–2023 metų</w:t>
      </w:r>
      <w:r w:rsidRPr="00F2527B">
        <w:rPr>
          <w:kern w:val="36"/>
        </w:rPr>
        <w:t xml:space="preserve"> strateginio plano tikslus, </w:t>
      </w:r>
      <w:r w:rsidRPr="00F2527B">
        <w:t>uždavinius ir priemones, prisidėjo prie Šiaulių rajono savivaldybės strateginių tikslų įgyvendinimo:</w:t>
      </w:r>
    </w:p>
    <w:p w14:paraId="6BAF7DE9" w14:textId="77777777" w:rsidR="00A45BB1" w:rsidRPr="00F2527B" w:rsidRDefault="009B6530" w:rsidP="00A45BB1">
      <w:pPr>
        <w:pStyle w:val="Pagrindinistekstas"/>
        <w:spacing w:after="0" w:line="240" w:lineRule="auto"/>
        <w:ind w:firstLine="709"/>
        <w:jc w:val="both"/>
      </w:pPr>
      <w:r w:rsidRPr="00F2527B">
        <w:t xml:space="preserve">1. Aukštos ugdymo ir švietimo paslaugų kokybės bei jų prieinamumo (kodas 2.1.). </w:t>
      </w:r>
    </w:p>
    <w:p w14:paraId="6BD9D564" w14:textId="060E3FBA" w:rsidR="009B6530" w:rsidRPr="00F2527B" w:rsidRDefault="009B6530" w:rsidP="00A45BB1">
      <w:pPr>
        <w:pStyle w:val="Pagrindinistekstas"/>
        <w:spacing w:after="0" w:line="240" w:lineRule="auto"/>
        <w:ind w:firstLine="709"/>
        <w:jc w:val="both"/>
      </w:pPr>
      <w:r w:rsidRPr="00F2527B">
        <w:t>2. Efektyvaus, gyventojų poreikius atitinkančio viešojo valdymo užtikrinimas (kodas 4.1.).</w:t>
      </w:r>
    </w:p>
    <w:p w14:paraId="539F7A67" w14:textId="1EDC52E5" w:rsidR="009B6530" w:rsidRPr="00F2527B" w:rsidRDefault="009B6530" w:rsidP="009B6530">
      <w:pPr>
        <w:pStyle w:val="Pagrindinistekstas"/>
        <w:spacing w:after="0" w:line="240" w:lineRule="auto"/>
        <w:ind w:firstLine="709"/>
        <w:jc w:val="both"/>
        <w:rPr>
          <w:b/>
          <w:kern w:val="36"/>
        </w:rPr>
      </w:pPr>
      <w:r w:rsidRPr="00F2527B">
        <w:t>3. Saugumo rajone didinimas (kodas 4.2.).</w:t>
      </w:r>
    </w:p>
    <w:p w14:paraId="478EBD09" w14:textId="77777777" w:rsidR="009B6530" w:rsidRPr="00F2527B" w:rsidRDefault="009B6530" w:rsidP="00B81415">
      <w:pPr>
        <w:pStyle w:val="Pagrindinistekstas"/>
        <w:spacing w:after="0" w:line="240" w:lineRule="auto"/>
        <w:ind w:firstLine="709"/>
        <w:jc w:val="both"/>
        <w:rPr>
          <w:b/>
          <w:kern w:val="36"/>
        </w:rPr>
      </w:pPr>
    </w:p>
    <w:tbl>
      <w:tblPr>
        <w:tblW w:w="9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75"/>
      </w:tblGrid>
      <w:tr w:rsidR="00F2527B" w:rsidRPr="00F2527B" w14:paraId="7A6CB54B" w14:textId="77777777" w:rsidTr="00E5052D">
        <w:tc>
          <w:tcPr>
            <w:tcW w:w="9875" w:type="dxa"/>
          </w:tcPr>
          <w:p w14:paraId="6608CB50" w14:textId="4734E350" w:rsidR="0041403A" w:rsidRPr="00F2527B" w:rsidRDefault="0041403A" w:rsidP="00B81415">
            <w:pPr>
              <w:pStyle w:val="Betarp"/>
              <w:rPr>
                <w:b/>
                <w:color w:val="auto"/>
                <w:sz w:val="24"/>
                <w:szCs w:val="24"/>
              </w:rPr>
            </w:pPr>
            <w:r w:rsidRPr="00F2527B">
              <w:rPr>
                <w:b/>
                <w:color w:val="auto"/>
                <w:sz w:val="24"/>
                <w:szCs w:val="24"/>
              </w:rPr>
              <w:t xml:space="preserve">1. Lopšelio-darželio strateginis tikslas – </w:t>
            </w:r>
            <w:r w:rsidR="00BF2E42" w:rsidRPr="00F2527B">
              <w:rPr>
                <w:b/>
                <w:color w:val="auto"/>
                <w:sz w:val="24"/>
                <w:szCs w:val="24"/>
              </w:rPr>
              <w:t>Siekti bendruomenės narių asmeninės ir profesinės ūgties.</w:t>
            </w:r>
          </w:p>
        </w:tc>
      </w:tr>
      <w:tr w:rsidR="00F2527B" w:rsidRPr="00F2527B" w14:paraId="775A1A81" w14:textId="77777777" w:rsidTr="00E5052D">
        <w:tc>
          <w:tcPr>
            <w:tcW w:w="9875" w:type="dxa"/>
          </w:tcPr>
          <w:p w14:paraId="3773FA67" w14:textId="1142EC8C" w:rsidR="000D3F81" w:rsidRPr="00F2527B" w:rsidRDefault="0041403A" w:rsidP="00F408C5">
            <w:pPr>
              <w:pStyle w:val="prastasiniatinklio"/>
              <w:spacing w:before="0" w:beforeAutospacing="0" w:after="0" w:afterAutospacing="0"/>
              <w:textAlignment w:val="baseline"/>
              <w:rPr>
                <w:b/>
              </w:rPr>
            </w:pPr>
            <w:r w:rsidRPr="00F2527B">
              <w:rPr>
                <w:b/>
              </w:rPr>
              <w:t xml:space="preserve">1.1. </w:t>
            </w:r>
            <w:r w:rsidR="00361CB4" w:rsidRPr="00F2527B">
              <w:rPr>
                <w:b/>
              </w:rPr>
              <w:t>Metinis</w:t>
            </w:r>
            <w:r w:rsidR="000D3F81" w:rsidRPr="00F2527B">
              <w:rPr>
                <w:b/>
              </w:rPr>
              <w:t xml:space="preserve"> tikslas </w:t>
            </w:r>
            <w:r w:rsidR="006C6C0A" w:rsidRPr="00F2527B">
              <w:rPr>
                <w:b/>
              </w:rPr>
              <w:t xml:space="preserve">– </w:t>
            </w:r>
            <w:r w:rsidR="002267A0" w:rsidRPr="00F2527B">
              <w:rPr>
                <w:b/>
              </w:rPr>
              <w:t>Tobulinti ikimokyklinio amžiaus vaikų ugdymo(si) turinį.</w:t>
            </w:r>
          </w:p>
        </w:tc>
      </w:tr>
      <w:tr w:rsidR="00F2527B" w:rsidRPr="00F2527B" w14:paraId="63318AC9" w14:textId="77777777" w:rsidTr="00E5052D">
        <w:tc>
          <w:tcPr>
            <w:tcW w:w="9875" w:type="dxa"/>
          </w:tcPr>
          <w:p w14:paraId="56B7C5F1" w14:textId="6ED094C6" w:rsidR="00A80870" w:rsidRPr="00F2527B" w:rsidRDefault="0041403A" w:rsidP="002267A0">
            <w:pPr>
              <w:pStyle w:val="prastasiniatinklio"/>
              <w:spacing w:before="0" w:beforeAutospacing="0" w:after="0" w:afterAutospacing="0"/>
              <w:ind w:left="-2" w:hanging="2"/>
              <w:rPr>
                <w:b/>
              </w:rPr>
            </w:pPr>
            <w:r w:rsidRPr="00F2527B">
              <w:rPr>
                <w:b/>
              </w:rPr>
              <w:t xml:space="preserve">1.1.1. </w:t>
            </w:r>
            <w:r w:rsidR="00A80870" w:rsidRPr="00F2527B">
              <w:rPr>
                <w:b/>
              </w:rPr>
              <w:t xml:space="preserve">Uždavinys – </w:t>
            </w:r>
            <w:r w:rsidR="002267A0" w:rsidRPr="00F2527B">
              <w:rPr>
                <w:b/>
              </w:rPr>
              <w:t>Parengti ikimokyklinio ugdymo(si) programą, užtikrinančią ugdymo(si) turinio kaitą.</w:t>
            </w:r>
          </w:p>
        </w:tc>
      </w:tr>
      <w:tr w:rsidR="00F2527B" w:rsidRPr="00F2527B" w14:paraId="7C42B003" w14:textId="77777777" w:rsidTr="00D6295E">
        <w:trPr>
          <w:trHeight w:val="1104"/>
        </w:trPr>
        <w:tc>
          <w:tcPr>
            <w:tcW w:w="9875" w:type="dxa"/>
          </w:tcPr>
          <w:p w14:paraId="7CA90C1D" w14:textId="0E23C427" w:rsidR="00F408C5" w:rsidRPr="00F2527B" w:rsidRDefault="000B0D70" w:rsidP="00F408C5">
            <w:pPr>
              <w:pStyle w:val="prastasiniatinklio"/>
              <w:ind w:left="-2" w:hanging="2"/>
              <w:jc w:val="both"/>
            </w:pPr>
            <w:r w:rsidRPr="00F2527B">
              <w:t>Darbo grupė, s</w:t>
            </w:r>
            <w:r w:rsidR="00F408C5" w:rsidRPr="00F2527B">
              <w:t xml:space="preserve">udaryta </w:t>
            </w:r>
            <w:r w:rsidR="00930976" w:rsidRPr="00F2527B">
              <w:t xml:space="preserve">ikimokyklinio ugdymo (toliau – </w:t>
            </w:r>
            <w:r w:rsidR="00F408C5" w:rsidRPr="00F2527B">
              <w:t>IU</w:t>
            </w:r>
            <w:r w:rsidR="00930976" w:rsidRPr="00F2527B">
              <w:t>)</w:t>
            </w:r>
            <w:r w:rsidR="00F408C5" w:rsidRPr="00F2527B">
              <w:t xml:space="preserve"> programai parengti, atsižvelgdama į turimų ikimokyklinio ugdymo programų tu</w:t>
            </w:r>
            <w:r w:rsidR="00983A02" w:rsidRPr="00F2527B">
              <w:t>rinio esmę, tinkamumą, į visos L</w:t>
            </w:r>
            <w:r w:rsidR="00F408C5" w:rsidRPr="00F2527B">
              <w:t xml:space="preserve">opšelio-darželio bendruomenės pasiūlymus, ieškodama dermės su </w:t>
            </w:r>
            <w:r w:rsidRPr="00F2527B">
              <w:t xml:space="preserve">priešmokyklinio ugdymo (toliau – </w:t>
            </w:r>
            <w:r w:rsidR="00F408C5" w:rsidRPr="00F2527B">
              <w:t>PU</w:t>
            </w:r>
            <w:r w:rsidRPr="00F2527B">
              <w:t>) bendrąją</w:t>
            </w:r>
            <w:r w:rsidR="00F408C5" w:rsidRPr="00F2527B">
              <w:t xml:space="preserve"> programa parengė naują IU programą </w:t>
            </w:r>
            <w:r w:rsidR="007F28A6" w:rsidRPr="00F2527B">
              <w:t>,,</w:t>
            </w:r>
            <w:r w:rsidR="00F408C5" w:rsidRPr="00F2527B">
              <w:t>AUK</w:t>
            </w:r>
            <w:r w:rsidR="007F28A6" w:rsidRPr="00F2527B">
              <w:t>“</w:t>
            </w:r>
            <w:r w:rsidR="00F408C5" w:rsidRPr="00F2527B">
              <w:t xml:space="preserve"> (aktyvus - unikalus - kūrybingas), kurios turinys padeda siekti kiekvieno vaiko asmeninės ūgties, pagal jų individualius gebėjimus ir poreikius.</w:t>
            </w:r>
          </w:p>
        </w:tc>
      </w:tr>
      <w:tr w:rsidR="00F2527B" w:rsidRPr="00F2527B" w14:paraId="5EA8BCA2" w14:textId="77777777" w:rsidTr="00E5052D">
        <w:trPr>
          <w:trHeight w:val="390"/>
        </w:trPr>
        <w:tc>
          <w:tcPr>
            <w:tcW w:w="9875" w:type="dxa"/>
            <w:vAlign w:val="center"/>
          </w:tcPr>
          <w:p w14:paraId="1E7737EA" w14:textId="149C64FD" w:rsidR="00A80870" w:rsidRPr="00F2527B" w:rsidRDefault="00F408C5" w:rsidP="00F40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Cs w:val="24"/>
              </w:rPr>
            </w:pPr>
            <w:r w:rsidRPr="00F2527B">
              <w:rPr>
                <w:b/>
                <w:szCs w:val="24"/>
              </w:rPr>
              <w:t>1.1.2. Integruoti socialinio emocinio ugdymo programas</w:t>
            </w:r>
            <w:r w:rsidR="005332DF" w:rsidRPr="00F2527B">
              <w:rPr>
                <w:b/>
                <w:szCs w:val="24"/>
              </w:rPr>
              <w:t xml:space="preserve"> </w:t>
            </w:r>
            <w:r w:rsidR="00D34261" w:rsidRPr="00F2527B">
              <w:rPr>
                <w:b/>
                <w:szCs w:val="24"/>
              </w:rPr>
              <w:t>,,</w:t>
            </w:r>
            <w:r w:rsidRPr="00F2527B">
              <w:rPr>
                <w:b/>
                <w:szCs w:val="24"/>
              </w:rPr>
              <w:t>Kimochis“ ir „Zipio draugai“.</w:t>
            </w:r>
          </w:p>
        </w:tc>
      </w:tr>
      <w:tr w:rsidR="00F2527B" w:rsidRPr="00F2527B" w14:paraId="4F4E5C5B" w14:textId="77777777" w:rsidTr="00D6295E">
        <w:trPr>
          <w:trHeight w:val="1863"/>
        </w:trPr>
        <w:tc>
          <w:tcPr>
            <w:tcW w:w="9875" w:type="dxa"/>
          </w:tcPr>
          <w:p w14:paraId="6B9638F3" w14:textId="01778641" w:rsidR="005332DF" w:rsidRPr="00F2527B" w:rsidRDefault="00927131" w:rsidP="006F45DB">
            <w:pPr>
              <w:pStyle w:val="prastasiniatinklio"/>
              <w:spacing w:before="0" w:beforeAutospacing="0" w:after="0" w:afterAutospacing="0"/>
              <w:ind w:left="-2" w:hanging="2"/>
              <w:jc w:val="both"/>
            </w:pPr>
            <w:r w:rsidRPr="00F2527B">
              <w:t>Vienoje grupėj</w:t>
            </w:r>
            <w:r w:rsidR="005332DF" w:rsidRPr="00F2527B">
              <w:t xml:space="preserve">e vaikams iki 3 metų taikomi </w:t>
            </w:r>
            <w:r w:rsidR="00821A0F" w:rsidRPr="00F2527B">
              <w:t xml:space="preserve">socialinio emocinio ugdymo </w:t>
            </w:r>
            <w:r w:rsidR="005332DF" w:rsidRPr="00F2527B">
              <w:t xml:space="preserve">programos „Kimochis“ elementai. </w:t>
            </w:r>
            <w:r w:rsidR="00F576CE" w:rsidRPr="00F2527B">
              <w:t>Penkiose</w:t>
            </w:r>
            <w:r w:rsidR="00587963" w:rsidRPr="00F2527B">
              <w:t xml:space="preserve"> (3–5 metų)</w:t>
            </w:r>
            <w:r w:rsidR="00983A02" w:rsidRPr="00F2527B">
              <w:t xml:space="preserve"> </w:t>
            </w:r>
            <w:r w:rsidRPr="00F2527B">
              <w:t>ik</w:t>
            </w:r>
            <w:r w:rsidR="005332DF" w:rsidRPr="00F2527B">
              <w:t xml:space="preserve">imokyklinio </w:t>
            </w:r>
            <w:r w:rsidR="006F45DB" w:rsidRPr="00F2527B">
              <w:t>amžiaus grupėse ugdytiniai įgi</w:t>
            </w:r>
            <w:r w:rsidR="005332DF" w:rsidRPr="00F2527B">
              <w:t>jo žinių, įgūdžių, kurie reikalingi, siekiant atpažinti emocijas, jas įvardyti, kurti tvirtus santykius.</w:t>
            </w:r>
          </w:p>
          <w:p w14:paraId="1EC38EEA" w14:textId="2EE819F0" w:rsidR="005332DF" w:rsidRPr="00F2527B" w:rsidRDefault="005332DF" w:rsidP="00927131">
            <w:pPr>
              <w:pStyle w:val="prastasiniatinklio"/>
              <w:spacing w:before="0" w:beforeAutospacing="0" w:after="0" w:afterAutospacing="0"/>
              <w:ind w:left="-2" w:hanging="2"/>
              <w:jc w:val="both"/>
            </w:pPr>
            <w:r w:rsidRPr="00F2527B">
              <w:t>100 proc. priešmokyklinio amžiaus ugdytinių</w:t>
            </w:r>
            <w:r w:rsidR="00983A02" w:rsidRPr="00F2527B">
              <w:t xml:space="preserve"> dviejose grupėse</w:t>
            </w:r>
            <w:r w:rsidRPr="00F2527B">
              <w:t xml:space="preserve"> dalyvavo programoj</w:t>
            </w:r>
            <w:r w:rsidR="00927131" w:rsidRPr="00F2527B">
              <w:t>e</w:t>
            </w:r>
            <w:r w:rsidR="00983A02" w:rsidRPr="00F2527B">
              <w:t xml:space="preserve"> „Zipio draugai“ </w:t>
            </w:r>
            <w:r w:rsidRPr="00F2527B">
              <w:t xml:space="preserve"> ir įgijo gebėjimų įveikti socialinius ir emocinius sunkumus, prisitaikyti prie</w:t>
            </w:r>
            <w:r w:rsidR="006F45DB" w:rsidRPr="00F2527B">
              <w:t xml:space="preserve"> </w:t>
            </w:r>
            <w:r w:rsidRPr="00F2527B">
              <w:t>kintančios aplinkos. Įgijo įgūdžių, kurie padeda geriau valdyti savo emocijas, greičiau susirasti draugų, įveikti</w:t>
            </w:r>
            <w:r w:rsidR="006F45DB" w:rsidRPr="00F2527B">
              <w:t xml:space="preserve"> </w:t>
            </w:r>
            <w:r w:rsidRPr="00F2527B">
              <w:t xml:space="preserve">kasdieninio gyvenimo sunkumus. </w:t>
            </w:r>
          </w:p>
        </w:tc>
      </w:tr>
      <w:tr w:rsidR="00F2527B" w:rsidRPr="00F2527B" w14:paraId="5324092E" w14:textId="77777777" w:rsidTr="00934EB0">
        <w:trPr>
          <w:trHeight w:val="511"/>
        </w:trPr>
        <w:tc>
          <w:tcPr>
            <w:tcW w:w="9875" w:type="dxa"/>
          </w:tcPr>
          <w:p w14:paraId="3D5DD0E7" w14:textId="345223C1" w:rsidR="009B4282" w:rsidRPr="00F2527B" w:rsidRDefault="00934EB0" w:rsidP="006F45DB">
            <w:pPr>
              <w:pStyle w:val="prastasiniatinklio"/>
              <w:spacing w:before="0" w:beforeAutospacing="0" w:after="0" w:afterAutospacing="0"/>
              <w:ind w:left="-2" w:hanging="2"/>
              <w:jc w:val="both"/>
            </w:pPr>
            <w:r w:rsidRPr="00F2527B">
              <w:rPr>
                <w:b/>
              </w:rPr>
              <w:t>Tikslo įgyvendinimo apibendrinimas.</w:t>
            </w:r>
            <w:r w:rsidRPr="00F2527B">
              <w:t xml:space="preserve"> </w:t>
            </w:r>
            <w:r w:rsidR="00927131" w:rsidRPr="00F2527B">
              <w:t>Tikslas įgyvendintas, visos suplanuotos priemonės įvykdytos</w:t>
            </w:r>
            <w:r w:rsidRPr="00F2527B">
              <w:t xml:space="preserve"> laiku ir kokybiškai.</w:t>
            </w:r>
          </w:p>
        </w:tc>
      </w:tr>
      <w:tr w:rsidR="00F2527B" w:rsidRPr="00F2527B" w14:paraId="26A9B9C8" w14:textId="77777777" w:rsidTr="00E5052D">
        <w:tc>
          <w:tcPr>
            <w:tcW w:w="9875" w:type="dxa"/>
          </w:tcPr>
          <w:p w14:paraId="769AAB47" w14:textId="242994F7" w:rsidR="00A80870" w:rsidRPr="00F2527B" w:rsidRDefault="007B7C4E" w:rsidP="00B81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uppressAutoHyphens/>
              <w:jc w:val="both"/>
              <w:textDirection w:val="btLr"/>
              <w:textAlignment w:val="top"/>
              <w:outlineLvl w:val="0"/>
              <w:rPr>
                <w:b/>
                <w:szCs w:val="24"/>
              </w:rPr>
            </w:pPr>
            <w:r w:rsidRPr="00F2527B">
              <w:rPr>
                <w:b/>
                <w:szCs w:val="24"/>
              </w:rPr>
              <w:t>2. Lopšeli</w:t>
            </w:r>
            <w:r w:rsidR="006C6C0A" w:rsidRPr="00F2527B">
              <w:rPr>
                <w:b/>
                <w:szCs w:val="24"/>
              </w:rPr>
              <w:t>o-darželio strateginis tikslas –</w:t>
            </w:r>
            <w:r w:rsidRPr="00F2527B">
              <w:rPr>
                <w:b/>
                <w:szCs w:val="24"/>
              </w:rPr>
              <w:t xml:space="preserve"> </w:t>
            </w:r>
            <w:r w:rsidR="006F45DB" w:rsidRPr="00F2527B">
              <w:rPr>
                <w:b/>
                <w:szCs w:val="24"/>
              </w:rPr>
              <w:t>Gerinti u</w:t>
            </w:r>
            <w:r w:rsidR="00401F3E" w:rsidRPr="00F2527B">
              <w:rPr>
                <w:b/>
                <w:szCs w:val="24"/>
              </w:rPr>
              <w:t>g</w:t>
            </w:r>
            <w:r w:rsidR="006F45DB" w:rsidRPr="00F2527B">
              <w:rPr>
                <w:b/>
                <w:szCs w:val="24"/>
              </w:rPr>
              <w:t>dymo(si) praktiką, skatinančią ugdymo(si) turinio kaitą.</w:t>
            </w:r>
          </w:p>
        </w:tc>
      </w:tr>
      <w:tr w:rsidR="00F2527B" w:rsidRPr="00F2527B" w14:paraId="0181098B" w14:textId="77777777" w:rsidTr="00E5052D">
        <w:tc>
          <w:tcPr>
            <w:tcW w:w="9875" w:type="dxa"/>
          </w:tcPr>
          <w:p w14:paraId="5848F237" w14:textId="7FADBEBA" w:rsidR="007B7C4E" w:rsidRPr="00F2527B" w:rsidRDefault="00D22E22" w:rsidP="00B81415">
            <w:pPr>
              <w:pStyle w:val="Betarp"/>
              <w:rPr>
                <w:b/>
                <w:color w:val="auto"/>
                <w:sz w:val="24"/>
                <w:szCs w:val="24"/>
              </w:rPr>
            </w:pPr>
            <w:r w:rsidRPr="00F2527B">
              <w:rPr>
                <w:b/>
                <w:color w:val="auto"/>
                <w:sz w:val="24"/>
                <w:szCs w:val="24"/>
              </w:rPr>
              <w:t>2.1. Metinis</w:t>
            </w:r>
            <w:r w:rsidR="00401F3E" w:rsidRPr="00F2527B">
              <w:rPr>
                <w:b/>
                <w:color w:val="auto"/>
                <w:sz w:val="24"/>
                <w:szCs w:val="24"/>
              </w:rPr>
              <w:t xml:space="preserve"> tikslas – integruoti Erasmus+, eTwinning ir kitų projektų, programų veiklas į ugdomąjį procesą.</w:t>
            </w:r>
          </w:p>
        </w:tc>
      </w:tr>
      <w:tr w:rsidR="00F2527B" w:rsidRPr="00F2527B" w14:paraId="16799F80" w14:textId="77777777" w:rsidTr="00E5052D">
        <w:tc>
          <w:tcPr>
            <w:tcW w:w="9875" w:type="dxa"/>
          </w:tcPr>
          <w:p w14:paraId="4E57B9A4" w14:textId="5719C8BE" w:rsidR="00A80870" w:rsidRPr="00F2527B" w:rsidRDefault="007B7C4E" w:rsidP="00B81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uppressAutoHyphens/>
              <w:jc w:val="both"/>
              <w:textDirection w:val="btLr"/>
              <w:textAlignment w:val="top"/>
              <w:outlineLvl w:val="0"/>
              <w:rPr>
                <w:b/>
                <w:szCs w:val="24"/>
              </w:rPr>
            </w:pPr>
            <w:r w:rsidRPr="00F2527B">
              <w:rPr>
                <w:b/>
                <w:szCs w:val="24"/>
              </w:rPr>
              <w:t>2.1.1.</w:t>
            </w:r>
            <w:r w:rsidR="006C6C0A" w:rsidRPr="00F2527B">
              <w:rPr>
                <w:b/>
                <w:szCs w:val="24"/>
              </w:rPr>
              <w:t xml:space="preserve"> Uždavinys –</w:t>
            </w:r>
            <w:r w:rsidR="00A80870" w:rsidRPr="00F2527B">
              <w:rPr>
                <w:b/>
                <w:szCs w:val="24"/>
              </w:rPr>
              <w:t xml:space="preserve"> </w:t>
            </w:r>
            <w:r w:rsidR="00401F3E" w:rsidRPr="00F2527B">
              <w:rPr>
                <w:b/>
                <w:szCs w:val="24"/>
              </w:rPr>
              <w:t>Rengti projektus, programas ir teikti paraiškas jų įgyvendinimui.</w:t>
            </w:r>
          </w:p>
        </w:tc>
      </w:tr>
      <w:tr w:rsidR="00F2527B" w:rsidRPr="00F2527B" w14:paraId="6AF614AF" w14:textId="77777777" w:rsidTr="00BF2E42">
        <w:trPr>
          <w:trHeight w:val="555"/>
        </w:trPr>
        <w:tc>
          <w:tcPr>
            <w:tcW w:w="9875" w:type="dxa"/>
          </w:tcPr>
          <w:p w14:paraId="59BE0205" w14:textId="37F36568" w:rsidR="00BF2E42" w:rsidRPr="00F2527B" w:rsidRDefault="006E0DBB" w:rsidP="00274E52">
            <w:pPr>
              <w:pStyle w:val="prastasiniatinklio"/>
              <w:spacing w:before="0" w:beforeAutospacing="0" w:after="0" w:afterAutospacing="0"/>
              <w:jc w:val="both"/>
            </w:pPr>
            <w:r w:rsidRPr="00F2527B">
              <w:t xml:space="preserve">8 </w:t>
            </w:r>
            <w:r w:rsidR="00BF2E42" w:rsidRPr="00F2527B">
              <w:t>Lopšelio-daržel</w:t>
            </w:r>
            <w:r w:rsidRPr="00F2527B">
              <w:t>io mokytojai dalyvavo</w:t>
            </w:r>
            <w:r w:rsidR="00316517" w:rsidRPr="00F2527B">
              <w:t xml:space="preserve"> 4</w:t>
            </w:r>
            <w:r w:rsidRPr="00F2527B">
              <w:t xml:space="preserve">  tarptautiniuose</w:t>
            </w:r>
            <w:r w:rsidR="00BF2E42" w:rsidRPr="00F2527B">
              <w:t xml:space="preserve"> projektuose eTwinning plat</w:t>
            </w:r>
            <w:r w:rsidR="00C85CA2" w:rsidRPr="00F2527B">
              <w:t xml:space="preserve">formoje. Už kokybišką projekto </w:t>
            </w:r>
            <w:r w:rsidR="0063031A" w:rsidRPr="00F2527B">
              <w:t>„Myths, Tales, Games for intercultural co</w:t>
            </w:r>
            <w:r w:rsidR="00C85CA2" w:rsidRPr="00F2527B">
              <w:t>m</w:t>
            </w:r>
            <w:r w:rsidR="0063031A" w:rsidRPr="00F2527B">
              <w:t xml:space="preserve">munication“ </w:t>
            </w:r>
            <w:r w:rsidRPr="00F2527B">
              <w:t>veiklų įgyvendinimą,</w:t>
            </w:r>
            <w:r w:rsidR="0063031A" w:rsidRPr="00F2527B">
              <w:t xml:space="preserve"> 2021 metais </w:t>
            </w:r>
            <w:r w:rsidR="005642FC" w:rsidRPr="00F2527B">
              <w:t xml:space="preserve">Lopšelis-darželis </w:t>
            </w:r>
            <w:r w:rsidRPr="00F2527B">
              <w:t>apdovanota</w:t>
            </w:r>
            <w:r w:rsidR="0063031A" w:rsidRPr="00F2527B">
              <w:t>s E</w:t>
            </w:r>
            <w:r w:rsidR="00934EB0" w:rsidRPr="00F2527B">
              <w:t xml:space="preserve">uropos </w:t>
            </w:r>
            <w:r w:rsidR="0063031A" w:rsidRPr="00F2527B">
              <w:t>komisijo</w:t>
            </w:r>
            <w:r w:rsidR="00934EB0" w:rsidRPr="00F2527B">
              <w:t>s k</w:t>
            </w:r>
            <w:r w:rsidR="0063031A" w:rsidRPr="00F2527B">
              <w:t xml:space="preserve">okybės ženkleliu. Erasmus+ projekto </w:t>
            </w:r>
            <w:r w:rsidR="00C37204" w:rsidRPr="00F2527B">
              <w:t xml:space="preserve">M.A.G.I.C“ </w:t>
            </w:r>
            <w:r w:rsidR="0063031A" w:rsidRPr="00F2527B">
              <w:t xml:space="preserve">veiklos tęsiamos ir integruotos į ugdomąjį procesą, </w:t>
            </w:r>
            <w:r w:rsidRPr="00F2527B">
              <w:t>parengtas 1 naujas</w:t>
            </w:r>
            <w:r w:rsidR="00934EB0" w:rsidRPr="00F2527B">
              <w:t xml:space="preserve"> Erasmus+  projektas „Little out</w:t>
            </w:r>
            <w:r w:rsidRPr="00F2527B">
              <w:t>doo</w:t>
            </w:r>
            <w:r w:rsidR="00934EB0" w:rsidRPr="00F2527B">
              <w:t xml:space="preserve">r </w:t>
            </w:r>
            <w:r w:rsidRPr="00F2527B">
              <w:t>learners“, kurio veiklų įgyvendinimui gautas finansavimas.</w:t>
            </w:r>
            <w:r w:rsidR="0063031A" w:rsidRPr="00F2527B">
              <w:t xml:space="preserve"> </w:t>
            </w:r>
            <w:r w:rsidR="0001371E" w:rsidRPr="00F2527B">
              <w:t xml:space="preserve">Vykdomų  </w:t>
            </w:r>
            <w:r w:rsidR="0001371E" w:rsidRPr="00F2527B">
              <w:lastRenderedPageBreak/>
              <w:t>p</w:t>
            </w:r>
            <w:r w:rsidRPr="00F2527B">
              <w:t xml:space="preserve">rojektų veiklos padėjo </w:t>
            </w:r>
            <w:r w:rsidR="00BF2E42" w:rsidRPr="00F2527B">
              <w:t>6 grupių ugdytiniams įveikti ugdymo(si) sunkumus, atsiskleisti kūrybinėms jų galioms ir gabumams, plėtoti meninę, pažinimo ir sveikatos stiprinimo kompetencijas. </w:t>
            </w:r>
          </w:p>
          <w:p w14:paraId="69607286" w14:textId="22A1238D" w:rsidR="00BF2E42" w:rsidRPr="00F2527B" w:rsidRDefault="00BF2E42" w:rsidP="00274E52">
            <w:pPr>
              <w:pStyle w:val="prastasiniatinklio"/>
              <w:spacing w:before="0" w:beforeAutospacing="0" w:after="0" w:afterAutospacing="0"/>
              <w:jc w:val="both"/>
            </w:pPr>
            <w:r w:rsidRPr="00F2527B">
              <w:t xml:space="preserve">Olimpinį ugdymą koordinuojanti komanda atliko fizinio aktyvumo skatinimo veiklos vertinimą ir parengė fizinio aktyvumo skatinimo planą 2021–2025 metams. Ataskaita su planu išsiųsta </w:t>
            </w:r>
            <w:r w:rsidR="0001371E" w:rsidRPr="00F2527B">
              <w:t>„</w:t>
            </w:r>
            <w:r w:rsidRPr="00F2527B">
              <w:t>Sveikatos mokymo ir ligų prevencijos centrui</w:t>
            </w:r>
            <w:r w:rsidR="0001371E" w:rsidRPr="00F2527B">
              <w:t>“</w:t>
            </w:r>
            <w:r w:rsidRPr="00F2527B">
              <w:t xml:space="preserve">, kuris 2021 m. gegužės 18 d. Lopšelį-darželį pripažino </w:t>
            </w:r>
            <w:r w:rsidR="0001371E" w:rsidRPr="00F2527B">
              <w:t>„</w:t>
            </w:r>
            <w:r w:rsidRPr="00F2527B">
              <w:t>Aktyvia mokykla</w:t>
            </w:r>
            <w:r w:rsidR="0001371E" w:rsidRPr="00F2527B">
              <w:t>“</w:t>
            </w:r>
            <w:r w:rsidRPr="00F2527B">
              <w:t>. Kartą per mėnesį Lopšelio-darželio bendruomenė įgyvendina fizinį aktyvumą skatinančias veiklas.</w:t>
            </w:r>
          </w:p>
          <w:p w14:paraId="3B82B70B" w14:textId="67F7C1AB" w:rsidR="00401F3E" w:rsidRPr="00F2527B" w:rsidRDefault="00BF2E42" w:rsidP="009B6530">
            <w:pPr>
              <w:pStyle w:val="prastasiniatinklio"/>
              <w:spacing w:before="0" w:beforeAutospacing="0" w:after="0" w:afterAutospacing="0"/>
              <w:jc w:val="both"/>
            </w:pPr>
            <w:r w:rsidRPr="00F2527B">
              <w:t xml:space="preserve">Įgyvendindami nacionalinės programos </w:t>
            </w:r>
            <w:r w:rsidR="00890E51" w:rsidRPr="00F2527B">
              <w:t>„</w:t>
            </w:r>
            <w:r w:rsidRPr="00F2527B">
              <w:t>Darni mokykla</w:t>
            </w:r>
            <w:r w:rsidR="00890E51" w:rsidRPr="00F2527B">
              <w:t>“</w:t>
            </w:r>
            <w:r w:rsidRPr="00F2527B">
              <w:t xml:space="preserve"> veiklas ugdytiniai sustiprino kritinį mąstymą, empatiją, pasitikėjimą savimi, tikėjimą bendruomene. Už 2021 m. vykdytą veiklą</w:t>
            </w:r>
            <w:r w:rsidR="00147CA4" w:rsidRPr="00F2527B">
              <w:t xml:space="preserve"> Lopšelis-darželis pripažintas </w:t>
            </w:r>
            <w:r w:rsidR="009B4282" w:rsidRPr="00F2527B">
              <w:t>„</w:t>
            </w:r>
            <w:r w:rsidR="00147CA4" w:rsidRPr="00F2527B">
              <w:t>D</w:t>
            </w:r>
            <w:r w:rsidRPr="00F2527B">
              <w:t>arnia mokykla</w:t>
            </w:r>
            <w:r w:rsidR="009B4282" w:rsidRPr="00F2527B">
              <w:t>“</w:t>
            </w:r>
            <w:r w:rsidRPr="00F2527B">
              <w:t xml:space="preserve"> ir gavo žaliąjį diplomą. Komanda parengė tęstinį </w:t>
            </w:r>
            <w:r w:rsidR="009B4282" w:rsidRPr="00F2527B">
              <w:t>„</w:t>
            </w:r>
            <w:r w:rsidRPr="00F2527B">
              <w:t>Darnios mokyklos</w:t>
            </w:r>
            <w:r w:rsidR="009B4282" w:rsidRPr="00F2527B">
              <w:t>“</w:t>
            </w:r>
            <w:r w:rsidRPr="00F2527B">
              <w:t xml:space="preserve"> programos veiklos planą 2022 metams.</w:t>
            </w:r>
          </w:p>
          <w:p w14:paraId="1717110E" w14:textId="3884D49D" w:rsidR="006E0DBB" w:rsidRPr="00F2527B" w:rsidRDefault="006E0DBB" w:rsidP="009B6530">
            <w:pPr>
              <w:pStyle w:val="prastasiniatinklio"/>
              <w:spacing w:before="0" w:beforeAutospacing="0" w:after="0" w:afterAutospacing="0"/>
              <w:jc w:val="both"/>
            </w:pPr>
            <w:r w:rsidRPr="00F2527B">
              <w:t xml:space="preserve">2 Lopšelio-darželio mokytojai įsitraukė į nacionalinį projektą „Žaidimai moko“ ir įgijo kompetencijų </w:t>
            </w:r>
            <w:r w:rsidR="00C37204" w:rsidRPr="00F2527B">
              <w:t>inovatyviam ugdytinių ugdymui(si) STEAM metodu.</w:t>
            </w:r>
          </w:p>
        </w:tc>
      </w:tr>
      <w:tr w:rsidR="00F2527B" w:rsidRPr="00F2527B" w14:paraId="1D3AA1E0" w14:textId="77777777" w:rsidTr="00E5052D">
        <w:tc>
          <w:tcPr>
            <w:tcW w:w="9875" w:type="dxa"/>
          </w:tcPr>
          <w:p w14:paraId="3BED64A3" w14:textId="522AC996" w:rsidR="00A80870" w:rsidRPr="00F2527B" w:rsidRDefault="007B7C4E" w:rsidP="00B81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  <w:textDirection w:val="btLr"/>
              <w:textAlignment w:val="top"/>
              <w:outlineLvl w:val="0"/>
              <w:rPr>
                <w:b/>
                <w:szCs w:val="24"/>
              </w:rPr>
            </w:pPr>
            <w:r w:rsidRPr="00F2527B">
              <w:rPr>
                <w:b/>
                <w:szCs w:val="24"/>
              </w:rPr>
              <w:lastRenderedPageBreak/>
              <w:t>2.1.2.</w:t>
            </w:r>
            <w:r w:rsidR="00D22E22" w:rsidRPr="00F2527B">
              <w:rPr>
                <w:b/>
                <w:szCs w:val="24"/>
              </w:rPr>
              <w:t xml:space="preserve"> Uždavinys –</w:t>
            </w:r>
            <w:r w:rsidR="00A80870" w:rsidRPr="00F2527B">
              <w:rPr>
                <w:b/>
                <w:szCs w:val="24"/>
              </w:rPr>
              <w:t xml:space="preserve"> </w:t>
            </w:r>
            <w:r w:rsidR="00783F9E" w:rsidRPr="00F2527B">
              <w:rPr>
                <w:b/>
                <w:szCs w:val="24"/>
              </w:rPr>
              <w:t>Įgyvendinti priemones, skatinančias ugdymo(si) turinio kaitą.</w:t>
            </w:r>
          </w:p>
        </w:tc>
      </w:tr>
      <w:tr w:rsidR="00F2527B" w:rsidRPr="00F2527B" w14:paraId="257C15B5" w14:textId="77777777" w:rsidTr="00362526">
        <w:trPr>
          <w:trHeight w:val="3865"/>
        </w:trPr>
        <w:tc>
          <w:tcPr>
            <w:tcW w:w="9875" w:type="dxa"/>
          </w:tcPr>
          <w:p w14:paraId="0FE6181A" w14:textId="5E8BAF47" w:rsidR="008F20A1" w:rsidRPr="00F2527B" w:rsidRDefault="00CF514E" w:rsidP="008F20A1">
            <w:pPr>
              <w:pStyle w:val="prastasiniatinklio"/>
              <w:spacing w:before="0" w:beforeAutospacing="0" w:after="0" w:afterAutospacing="0"/>
            </w:pPr>
            <w:r w:rsidRPr="00F2527B">
              <w:t>Dvi Lopšelio-darželio komandos</w:t>
            </w:r>
            <w:r w:rsidR="00496499" w:rsidRPr="00F2527B">
              <w:t xml:space="preserve"> dalyvavo Švietimo, mokslo ir sporto ministerijos projekte </w:t>
            </w:r>
            <w:r w:rsidR="00D85F6B" w:rsidRPr="00F2527B">
              <w:t>„</w:t>
            </w:r>
            <w:r w:rsidR="00496499" w:rsidRPr="00F2527B">
              <w:t>Inovacijos vaikų darželyje“</w:t>
            </w:r>
            <w:r w:rsidR="00105EF4" w:rsidRPr="00F2527B">
              <w:t xml:space="preserve">, pravedė mokymus projekte dalyvavusiems respublikos </w:t>
            </w:r>
            <w:r w:rsidR="00856FA5" w:rsidRPr="00F2527B">
              <w:t xml:space="preserve"> ir Lopšelio-darželio </w:t>
            </w:r>
            <w:r w:rsidR="00105EF4" w:rsidRPr="00F2527B">
              <w:t xml:space="preserve">mokytojams. </w:t>
            </w:r>
            <w:r w:rsidR="008F20A1" w:rsidRPr="00F2527B">
              <w:t>Mokytojai supažindinti su inovatyvių metodų taikymu  ugdant kūrybiškas, aktyvias asmenybes ir projekto „Inovacijos vaikų darželyje“ metodine medžiaga. Inovatyvių metodų pagrindu parengta IU programa „AUK“. Nuo  2021 m. rugsėjo 1 d.10</w:t>
            </w:r>
            <w:r w:rsidR="00D85F6B" w:rsidRPr="00F2527B">
              <w:t>-ies</w:t>
            </w:r>
            <w:r w:rsidR="008F20A1" w:rsidRPr="00F2527B">
              <w:t xml:space="preserve"> grupių ugdytiniai ugdomi projektų metodu.</w:t>
            </w:r>
          </w:p>
          <w:p w14:paraId="6591EFB2" w14:textId="38AB7518" w:rsidR="00783F9E" w:rsidRPr="00F2527B" w:rsidRDefault="00934EB0" w:rsidP="00934EB0">
            <w:pPr>
              <w:pStyle w:val="prastasiniatinklio"/>
              <w:spacing w:before="0" w:beforeAutospacing="0" w:after="0" w:afterAutospacing="0"/>
              <w:jc w:val="both"/>
            </w:pPr>
            <w:r w:rsidRPr="00F2527B">
              <w:t>7-iose Lopšelio-darželio grupėse organizuojamos STEAM veiklos, 15 mokytojų (57 proc.) dalyvauja</w:t>
            </w:r>
            <w:r w:rsidR="005642FC" w:rsidRPr="00F2527B">
              <w:rPr>
                <w:shd w:val="clear" w:color="auto" w:fill="FFFFFF"/>
              </w:rPr>
              <w:t xml:space="preserve"> STEM mokyklų ženklo projekte</w:t>
            </w:r>
            <w:r w:rsidRPr="00F2527B">
              <w:rPr>
                <w:shd w:val="clear" w:color="auto" w:fill="FFFFFF"/>
              </w:rPr>
              <w:t xml:space="preserve"> </w:t>
            </w:r>
            <w:r w:rsidR="00A61AAA" w:rsidRPr="00F2527B">
              <w:rPr>
                <w:shd w:val="clear" w:color="auto" w:fill="FFFFFF"/>
              </w:rPr>
              <w:t>,,</w:t>
            </w:r>
            <w:r w:rsidRPr="00F2527B">
              <w:rPr>
                <w:shd w:val="clear" w:color="auto" w:fill="FFFFFF"/>
              </w:rPr>
              <w:t>STEM School Label</w:t>
            </w:r>
            <w:r w:rsidR="00133E61" w:rsidRPr="00F2527B">
              <w:rPr>
                <w:shd w:val="clear" w:color="auto" w:fill="FFFFFF"/>
              </w:rPr>
              <w:t>“</w:t>
            </w:r>
            <w:r w:rsidRPr="00F2527B">
              <w:rPr>
                <w:shd w:val="clear" w:color="auto" w:fill="FFFFFF"/>
              </w:rPr>
              <w:t xml:space="preserve">, </w:t>
            </w:r>
            <w:r w:rsidRPr="00F2527B">
              <w:t>19 proc. mokytojų  dalinasi savo patirtimi.</w:t>
            </w:r>
          </w:p>
          <w:p w14:paraId="521FB553" w14:textId="18579F4B" w:rsidR="00783F9E" w:rsidRPr="00F2527B" w:rsidRDefault="00783F9E" w:rsidP="00CC3B9E">
            <w:pPr>
              <w:pStyle w:val="prastasiniatinklio"/>
              <w:spacing w:before="0" w:beforeAutospacing="0" w:after="0" w:afterAutospacing="0"/>
              <w:ind w:left="-2" w:hanging="2"/>
              <w:jc w:val="both"/>
            </w:pPr>
            <w:r w:rsidRPr="00F2527B">
              <w:t xml:space="preserve">100 proc. mokytojų, 100 proc. švietimo pagalbos specialistų, 70 proc. mokytojų padėjėjų užsiregistravo ir dalyvavo </w:t>
            </w:r>
            <w:r w:rsidR="00362526" w:rsidRPr="00F2527B">
              <w:t xml:space="preserve">Besimokančių darželių tinklo (toliau – BDT) </w:t>
            </w:r>
            <w:r w:rsidRPr="00F2527B">
              <w:t>mokymuose. Tobulino asmenines ir profesines kompetencijas programos seminaruose, konsultacijose, diskusijose. Mokytojai nedrąsiai  perima proaktyvaus pedagogo vaidmenį.</w:t>
            </w:r>
            <w:r w:rsidR="00105EF4" w:rsidRPr="00F2527B">
              <w:t xml:space="preserve"> </w:t>
            </w:r>
            <w:r w:rsidR="00CC3B9E" w:rsidRPr="00F2527B">
              <w:t>65</w:t>
            </w:r>
            <w:r w:rsidRPr="00F2527B">
              <w:t xml:space="preserve"> proc. mokytojų geba  plėtoti vaikų sumanymus ir </w:t>
            </w:r>
            <w:r w:rsidR="00AB3191" w:rsidRPr="00F2527B">
              <w:t>i</w:t>
            </w:r>
            <w:r w:rsidRPr="00F2527B">
              <w:t xml:space="preserve">dėjas. BDT mokymų žinias mokytojai </w:t>
            </w:r>
            <w:r w:rsidR="00FB3BB2" w:rsidRPr="00F2527B">
              <w:t>pritaikė pagal ugdytinių poreikius</w:t>
            </w:r>
            <w:r w:rsidRPr="00F2527B">
              <w:t>, gebėjimus, įgyvendinamą projektą.</w:t>
            </w:r>
          </w:p>
        </w:tc>
      </w:tr>
      <w:tr w:rsidR="00F2527B" w:rsidRPr="00F2527B" w14:paraId="2839944C" w14:textId="77777777" w:rsidTr="002C7CB2">
        <w:trPr>
          <w:trHeight w:val="848"/>
        </w:trPr>
        <w:tc>
          <w:tcPr>
            <w:tcW w:w="9875" w:type="dxa"/>
          </w:tcPr>
          <w:p w14:paraId="35BF40E4" w14:textId="77777777" w:rsidR="003B6304" w:rsidRPr="00F2527B" w:rsidRDefault="00934EB0" w:rsidP="00AB3191">
            <w:pPr>
              <w:pStyle w:val="prastasiniatinklio"/>
              <w:spacing w:before="0" w:beforeAutospacing="0" w:after="0" w:afterAutospacing="0"/>
              <w:jc w:val="both"/>
            </w:pPr>
            <w:r w:rsidRPr="00F2527B">
              <w:rPr>
                <w:b/>
              </w:rPr>
              <w:t>Tikslo įgyvendinimo apibendrinimas.</w:t>
            </w:r>
            <w:r w:rsidR="00C03000" w:rsidRPr="00F2527B">
              <w:t xml:space="preserve"> Tikslas įgyvendintas, įvykdyta daugiau priemonių, nei planuota</w:t>
            </w:r>
            <w:r w:rsidR="003B6304" w:rsidRPr="00F2527B">
              <w:t>:</w:t>
            </w:r>
            <w:r w:rsidR="00873D6C" w:rsidRPr="00F2527B">
              <w:t xml:space="preserve"> </w:t>
            </w:r>
          </w:p>
          <w:p w14:paraId="07ECC698" w14:textId="77777777" w:rsidR="003B6304" w:rsidRPr="00F2527B" w:rsidRDefault="003B6304" w:rsidP="00AB3191">
            <w:pPr>
              <w:pStyle w:val="prastasiniatinklio"/>
              <w:spacing w:before="0" w:beforeAutospacing="0" w:after="0" w:afterAutospacing="0"/>
              <w:jc w:val="both"/>
            </w:pPr>
            <w:r w:rsidRPr="00F2527B">
              <w:t xml:space="preserve">- </w:t>
            </w:r>
            <w:r w:rsidR="00873D6C" w:rsidRPr="00F2527B">
              <w:t xml:space="preserve">Vietoj planuotų dviejų eTwinning projektų, įgyvendinti keturi ir du Erasmus+ projektai. </w:t>
            </w:r>
          </w:p>
          <w:p w14:paraId="2E8B671C" w14:textId="77777777" w:rsidR="003B6304" w:rsidRPr="00F2527B" w:rsidRDefault="003B6304" w:rsidP="00AB3191">
            <w:pPr>
              <w:pStyle w:val="prastasiniatinklio"/>
              <w:spacing w:before="0" w:beforeAutospacing="0" w:after="0" w:afterAutospacing="0"/>
              <w:jc w:val="both"/>
            </w:pPr>
            <w:r w:rsidRPr="00F2527B">
              <w:t xml:space="preserve">- </w:t>
            </w:r>
            <w:r w:rsidR="00873D6C" w:rsidRPr="00F2527B">
              <w:t>Vietoj planuotų dviejų grupių, šešių grupių ugdytiniams dalyvavimas projektų veiklose padėjo įveikti ugdymo(si) sunkumus, atsiskleisti kūrybinėms jų galioms ir gabumams.</w:t>
            </w:r>
            <w:r w:rsidR="00C63E80" w:rsidRPr="00F2527B">
              <w:t xml:space="preserve"> </w:t>
            </w:r>
          </w:p>
          <w:p w14:paraId="381724C4" w14:textId="77777777" w:rsidR="002C7CB2" w:rsidRPr="00F2527B" w:rsidRDefault="003B6304" w:rsidP="00AB3191">
            <w:pPr>
              <w:pStyle w:val="prastasiniatinklio"/>
              <w:spacing w:before="0" w:beforeAutospacing="0" w:after="0" w:afterAutospacing="0"/>
              <w:jc w:val="both"/>
            </w:pPr>
            <w:r w:rsidRPr="00F2527B">
              <w:t xml:space="preserve">- </w:t>
            </w:r>
            <w:r w:rsidR="00C63E80" w:rsidRPr="00F2527B">
              <w:t xml:space="preserve">Už projekto „Myths, Tales, Games for intercultural comunication“ kokybišką veiklų įgyvendinimą, 2021 metais </w:t>
            </w:r>
            <w:r w:rsidRPr="00F2527B">
              <w:t>skirtas</w:t>
            </w:r>
            <w:r w:rsidR="00C63E80" w:rsidRPr="00F2527B">
              <w:t xml:space="preserve"> Europos komisijos k</w:t>
            </w:r>
            <w:r w:rsidRPr="00F2527B">
              <w:t>okybės ženklelis Lopšeliui-darželiui</w:t>
            </w:r>
            <w:r w:rsidR="00C63E80" w:rsidRPr="00F2527B">
              <w:t>.</w:t>
            </w:r>
          </w:p>
          <w:p w14:paraId="017608BB" w14:textId="43C20529" w:rsidR="00363C76" w:rsidRPr="00F2527B" w:rsidRDefault="00363C76" w:rsidP="00AB3191">
            <w:pPr>
              <w:pStyle w:val="prastasiniatinklio"/>
              <w:spacing w:before="0" w:beforeAutospacing="0" w:after="0" w:afterAutospacing="0"/>
              <w:jc w:val="both"/>
            </w:pPr>
            <w:r w:rsidRPr="00F2527B">
              <w:t>- 15 mokytojų (57 proc.) dalyvauja</w:t>
            </w:r>
            <w:r w:rsidRPr="00F2527B">
              <w:rPr>
                <w:shd w:val="clear" w:color="auto" w:fill="FFFFFF"/>
              </w:rPr>
              <w:t xml:space="preserve"> STEM mokyklų ženklo projekte </w:t>
            </w:r>
            <w:r w:rsidR="006D5B25" w:rsidRPr="00F2527B">
              <w:rPr>
                <w:shd w:val="clear" w:color="auto" w:fill="FFFFFF"/>
              </w:rPr>
              <w:t>,,</w:t>
            </w:r>
            <w:r w:rsidRPr="00F2527B">
              <w:rPr>
                <w:shd w:val="clear" w:color="auto" w:fill="FFFFFF"/>
              </w:rPr>
              <w:t>STEM School Label</w:t>
            </w:r>
            <w:r w:rsidR="006D5B25" w:rsidRPr="00F2527B">
              <w:rPr>
                <w:shd w:val="clear" w:color="auto" w:fill="FFFFFF"/>
              </w:rPr>
              <w:t>“</w:t>
            </w:r>
            <w:r w:rsidRPr="00F2527B">
              <w:rPr>
                <w:shd w:val="clear" w:color="auto" w:fill="FFFFFF"/>
              </w:rPr>
              <w:t>.</w:t>
            </w:r>
          </w:p>
        </w:tc>
      </w:tr>
      <w:tr w:rsidR="00F2527B" w:rsidRPr="00F2527B" w14:paraId="0FA1DF7F" w14:textId="77777777" w:rsidTr="00E5052D">
        <w:tc>
          <w:tcPr>
            <w:tcW w:w="9875" w:type="dxa"/>
          </w:tcPr>
          <w:p w14:paraId="64BBB1D3" w14:textId="43FFF6C1" w:rsidR="00E5052D" w:rsidRPr="00F2527B" w:rsidRDefault="00331324" w:rsidP="00B81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uppressAutoHyphens/>
              <w:jc w:val="both"/>
              <w:textDirection w:val="btLr"/>
              <w:textAlignment w:val="top"/>
              <w:outlineLvl w:val="0"/>
              <w:rPr>
                <w:b/>
                <w:szCs w:val="24"/>
              </w:rPr>
            </w:pPr>
            <w:r w:rsidRPr="00F2527B">
              <w:rPr>
                <w:b/>
                <w:szCs w:val="24"/>
              </w:rPr>
              <w:t>3. Lopšeli</w:t>
            </w:r>
            <w:r w:rsidR="00D22E22" w:rsidRPr="00F2527B">
              <w:rPr>
                <w:b/>
                <w:szCs w:val="24"/>
              </w:rPr>
              <w:t>o-darželio strateginis tikslas –</w:t>
            </w:r>
            <w:r w:rsidRPr="00F2527B">
              <w:rPr>
                <w:b/>
                <w:szCs w:val="24"/>
              </w:rPr>
              <w:t xml:space="preserve"> </w:t>
            </w:r>
            <w:r w:rsidR="00E15618" w:rsidRPr="00F2527B">
              <w:rPr>
                <w:b/>
                <w:szCs w:val="24"/>
              </w:rPr>
              <w:t>Plėtoti prasmingą, įdomią ir auginančią edukacinę aplinką</w:t>
            </w:r>
            <w:r w:rsidRPr="00F2527B">
              <w:rPr>
                <w:b/>
                <w:szCs w:val="24"/>
              </w:rPr>
              <w:t>.</w:t>
            </w:r>
          </w:p>
        </w:tc>
      </w:tr>
      <w:tr w:rsidR="00F2527B" w:rsidRPr="00F2527B" w14:paraId="531A2ADD" w14:textId="77777777" w:rsidTr="00E5052D">
        <w:tc>
          <w:tcPr>
            <w:tcW w:w="9875" w:type="dxa"/>
          </w:tcPr>
          <w:p w14:paraId="5007B792" w14:textId="2A0D8568" w:rsidR="00E5052D" w:rsidRPr="00F2527B" w:rsidRDefault="00D22E22" w:rsidP="00B81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uppressAutoHyphens/>
              <w:jc w:val="both"/>
              <w:textDirection w:val="btLr"/>
              <w:textAlignment w:val="top"/>
              <w:outlineLvl w:val="0"/>
              <w:rPr>
                <w:b/>
                <w:szCs w:val="24"/>
              </w:rPr>
            </w:pPr>
            <w:r w:rsidRPr="00F2527B">
              <w:rPr>
                <w:b/>
                <w:szCs w:val="24"/>
              </w:rPr>
              <w:t>3.1. Metinis</w:t>
            </w:r>
            <w:r w:rsidR="00331324" w:rsidRPr="00F2527B">
              <w:rPr>
                <w:b/>
                <w:szCs w:val="24"/>
              </w:rPr>
              <w:t xml:space="preserve"> t</w:t>
            </w:r>
            <w:r w:rsidRPr="00F2527B">
              <w:rPr>
                <w:b/>
                <w:szCs w:val="24"/>
              </w:rPr>
              <w:t>ikslas –</w:t>
            </w:r>
            <w:r w:rsidR="00E5052D" w:rsidRPr="00F2527B">
              <w:rPr>
                <w:b/>
                <w:szCs w:val="24"/>
              </w:rPr>
              <w:t xml:space="preserve"> </w:t>
            </w:r>
            <w:r w:rsidR="00E15618" w:rsidRPr="00F2527B">
              <w:rPr>
                <w:b/>
                <w:szCs w:val="24"/>
              </w:rPr>
              <w:t>Gerinti Lopšelio-darželio materialinę bazę, kuriant naujas edukacines aplinkas.</w:t>
            </w:r>
          </w:p>
        </w:tc>
      </w:tr>
      <w:tr w:rsidR="00F2527B" w:rsidRPr="00F2527B" w14:paraId="34A0299C" w14:textId="77777777" w:rsidTr="00E5052D">
        <w:tc>
          <w:tcPr>
            <w:tcW w:w="9875" w:type="dxa"/>
          </w:tcPr>
          <w:p w14:paraId="2DEB3D6C" w14:textId="3455BA88" w:rsidR="00A80870" w:rsidRPr="00F2527B" w:rsidRDefault="00331324" w:rsidP="00B81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uppressAutoHyphens/>
              <w:jc w:val="both"/>
              <w:textDirection w:val="btLr"/>
              <w:textAlignment w:val="top"/>
              <w:outlineLvl w:val="0"/>
              <w:rPr>
                <w:b/>
                <w:szCs w:val="24"/>
              </w:rPr>
            </w:pPr>
            <w:r w:rsidRPr="00F2527B">
              <w:rPr>
                <w:b/>
                <w:szCs w:val="24"/>
              </w:rPr>
              <w:t xml:space="preserve">3.1.1. </w:t>
            </w:r>
            <w:r w:rsidR="00D22E22" w:rsidRPr="00F2527B">
              <w:rPr>
                <w:b/>
                <w:szCs w:val="24"/>
              </w:rPr>
              <w:t>Uždavinys –</w:t>
            </w:r>
            <w:r w:rsidR="00A80870" w:rsidRPr="00F2527B">
              <w:rPr>
                <w:b/>
                <w:szCs w:val="24"/>
              </w:rPr>
              <w:t xml:space="preserve"> </w:t>
            </w:r>
            <w:r w:rsidR="00160064" w:rsidRPr="00F2527B">
              <w:rPr>
                <w:b/>
                <w:szCs w:val="24"/>
              </w:rPr>
              <w:t>Atnaujinti ugdymo(si) sąlygas Lopšelio-darželio priešmokyklinėse grupėse.</w:t>
            </w:r>
          </w:p>
        </w:tc>
      </w:tr>
      <w:tr w:rsidR="00F2527B" w:rsidRPr="00F2527B" w14:paraId="3223C497" w14:textId="77777777" w:rsidTr="00DB726F">
        <w:tc>
          <w:tcPr>
            <w:tcW w:w="9875" w:type="dxa"/>
          </w:tcPr>
          <w:p w14:paraId="642A1C9C" w14:textId="63725303" w:rsidR="00160064" w:rsidRPr="00F2527B" w:rsidRDefault="0072020A" w:rsidP="0097255A">
            <w:pPr>
              <w:pStyle w:val="prastasiniatinklio"/>
              <w:spacing w:before="0" w:beforeAutospacing="0" w:after="0" w:afterAutospacing="0"/>
              <w:ind w:left="-2" w:hanging="2"/>
              <w:jc w:val="both"/>
            </w:pPr>
            <w:r w:rsidRPr="00F2527B">
              <w:t>Dvi PU grupės aprūpintos ergonomiškais stalais ir kėdėmis ugdytiniams, kurių pagalba</w:t>
            </w:r>
            <w:r w:rsidR="003B6304" w:rsidRPr="00F2527B">
              <w:t xml:space="preserve"> 1</w:t>
            </w:r>
            <w:r w:rsidR="00160064" w:rsidRPr="00F2527B">
              <w:t>00 proc. priešmokyklinio amžiaus ugdytinių sudarytos sąlygos netaisyklin</w:t>
            </w:r>
            <w:r w:rsidRPr="00F2527B">
              <w:t>gos laikysenos prevencijai</w:t>
            </w:r>
            <w:r w:rsidR="00160064" w:rsidRPr="00F2527B">
              <w:t>. </w:t>
            </w:r>
          </w:p>
          <w:p w14:paraId="3966A70F" w14:textId="5D07DD57" w:rsidR="00160064" w:rsidRPr="00F2527B" w:rsidRDefault="0072020A" w:rsidP="0097255A">
            <w:pPr>
              <w:pStyle w:val="prastasiniatinklio"/>
              <w:spacing w:before="0" w:beforeAutospacing="0" w:after="0" w:afterAutospacing="0"/>
              <w:ind w:left="-2" w:hanging="2"/>
              <w:jc w:val="both"/>
            </w:pPr>
            <w:r w:rsidRPr="00F2527B">
              <w:t>Sukurtos dvi naujos edukacinės erdvės PU grupėse ugdytinių tyrinėjimams, atradimams ir kūrybai. ,,Kiškučių</w:t>
            </w:r>
            <w:r w:rsidR="00AD0159" w:rsidRPr="00F2527B">
              <w:t>“</w:t>
            </w:r>
            <w:r w:rsidRPr="00F2527B">
              <w:t xml:space="preserve"> grupėje įrengtas STEAM kambarėlis, kuriame vaikai plėtoja pažinimo, meninę, komunikavimo ir technologijų kompetencijas. ,,Pelėdžiukų</w:t>
            </w:r>
            <w:r w:rsidR="00AD0159" w:rsidRPr="00F2527B">
              <w:t>“</w:t>
            </w:r>
            <w:r w:rsidRPr="00F2527B">
              <w:t xml:space="preserve"> grupėje įkurta ,,Artelė siuvykla</w:t>
            </w:r>
            <w:r w:rsidR="00283F87" w:rsidRPr="00F2527B">
              <w:t>“</w:t>
            </w:r>
            <w:r w:rsidRPr="00F2527B">
              <w:t>, kurioje vaikai patiria kūrybinį džiaugsmą, ugdo meninę, komunikavimo ir pažinimo kompetencijas. </w:t>
            </w:r>
          </w:p>
        </w:tc>
      </w:tr>
      <w:tr w:rsidR="00F2527B" w:rsidRPr="00F2527B" w14:paraId="6F5E6F36" w14:textId="77777777" w:rsidTr="00E5052D">
        <w:trPr>
          <w:trHeight w:val="240"/>
        </w:trPr>
        <w:tc>
          <w:tcPr>
            <w:tcW w:w="9875" w:type="dxa"/>
          </w:tcPr>
          <w:p w14:paraId="163E4EB7" w14:textId="2C8FC2BF" w:rsidR="00A80870" w:rsidRPr="00F2527B" w:rsidRDefault="00A80870" w:rsidP="001C5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both"/>
              <w:rPr>
                <w:b/>
                <w:bCs/>
                <w:szCs w:val="24"/>
              </w:rPr>
            </w:pPr>
            <w:r w:rsidRPr="00F2527B">
              <w:rPr>
                <w:b/>
                <w:bCs/>
                <w:szCs w:val="24"/>
              </w:rPr>
              <w:t>3.</w:t>
            </w:r>
            <w:r w:rsidR="00DC7445" w:rsidRPr="00F2527B">
              <w:rPr>
                <w:b/>
                <w:bCs/>
                <w:szCs w:val="24"/>
              </w:rPr>
              <w:t>1.</w:t>
            </w:r>
            <w:r w:rsidRPr="00F2527B">
              <w:rPr>
                <w:b/>
                <w:bCs/>
                <w:szCs w:val="24"/>
              </w:rPr>
              <w:t xml:space="preserve">2. Uždavinys </w:t>
            </w:r>
            <w:r w:rsidR="001C5A7C" w:rsidRPr="00F2527B">
              <w:rPr>
                <w:b/>
                <w:bCs/>
                <w:szCs w:val="24"/>
              </w:rPr>
              <w:t>–</w:t>
            </w:r>
            <w:r w:rsidR="0097255A" w:rsidRPr="00F2527B">
              <w:rPr>
                <w:b/>
                <w:bCs/>
                <w:szCs w:val="24"/>
              </w:rPr>
              <w:t xml:space="preserve"> Kurti ir plėtoti lauko edukacines erdves</w:t>
            </w:r>
            <w:r w:rsidRPr="00F2527B">
              <w:rPr>
                <w:b/>
                <w:bCs/>
                <w:szCs w:val="24"/>
              </w:rPr>
              <w:t>.</w:t>
            </w:r>
          </w:p>
        </w:tc>
      </w:tr>
      <w:tr w:rsidR="00F2527B" w:rsidRPr="00F2527B" w14:paraId="6A7C7781" w14:textId="77777777" w:rsidTr="00DB726F">
        <w:trPr>
          <w:trHeight w:val="886"/>
        </w:trPr>
        <w:tc>
          <w:tcPr>
            <w:tcW w:w="9875" w:type="dxa"/>
          </w:tcPr>
          <w:p w14:paraId="6BEEFB99" w14:textId="5FF9D9E9" w:rsidR="0097255A" w:rsidRPr="00F2527B" w:rsidRDefault="009B6530" w:rsidP="0097255A">
            <w:pPr>
              <w:pStyle w:val="prastasiniatinklio"/>
              <w:spacing w:before="0" w:beforeAutospacing="0" w:after="0" w:afterAutospacing="0"/>
              <w:ind w:left="-2" w:hanging="2"/>
              <w:jc w:val="both"/>
            </w:pPr>
            <w:r w:rsidRPr="00F2527B">
              <w:t>S</w:t>
            </w:r>
            <w:r w:rsidR="000056F3" w:rsidRPr="00F2527B">
              <w:t>ukurta 13</w:t>
            </w:r>
            <w:r w:rsidR="0097255A" w:rsidRPr="00F2527B">
              <w:t>  QR</w:t>
            </w:r>
            <w:r w:rsidR="000056F3" w:rsidRPr="00F2527B">
              <w:t xml:space="preserve"> kodų</w:t>
            </w:r>
            <w:r w:rsidR="0097255A" w:rsidRPr="00F2527B">
              <w:t xml:space="preserve">, </w:t>
            </w:r>
            <w:r w:rsidRPr="00F2527B">
              <w:t xml:space="preserve">Lopšelio-darželio </w:t>
            </w:r>
            <w:r w:rsidR="00E7672D" w:rsidRPr="00F2527B">
              <w:t xml:space="preserve">lauko </w:t>
            </w:r>
            <w:r w:rsidR="0097255A" w:rsidRPr="00F2527B">
              <w:t xml:space="preserve">edukacinėse erdvėse vaikų žingeidumui ir ugdymo(si) motyvacijai didinti.  100 proc. mokytojų taiko </w:t>
            </w:r>
            <w:r w:rsidR="00D36A6E" w:rsidRPr="00F2527B">
              <w:t xml:space="preserve">interaktyvias ir </w:t>
            </w:r>
            <w:r w:rsidR="0097255A" w:rsidRPr="00F2527B">
              <w:t>skaitmenines technologijas, siekiant ki</w:t>
            </w:r>
            <w:r w:rsidR="00E7672D" w:rsidRPr="00F2527B">
              <w:t>ekvieno vaiko individualių gebėjimų ugdymo(si)</w:t>
            </w:r>
            <w:r w:rsidR="0097255A" w:rsidRPr="00F2527B">
              <w:t>. </w:t>
            </w:r>
          </w:p>
          <w:p w14:paraId="5B47BF23" w14:textId="11C3354A" w:rsidR="0097255A" w:rsidRPr="00F2527B" w:rsidRDefault="00CC3B9E" w:rsidP="00D6295E">
            <w:pPr>
              <w:pStyle w:val="prastasiniatinklio"/>
              <w:spacing w:before="0" w:beforeAutospacing="0" w:after="0" w:afterAutospacing="0"/>
              <w:ind w:left="-2" w:hanging="2"/>
              <w:jc w:val="both"/>
            </w:pPr>
            <w:r w:rsidRPr="00F2527B">
              <w:lastRenderedPageBreak/>
              <w:t>Įrengtos 3</w:t>
            </w:r>
            <w:r w:rsidR="0097255A" w:rsidRPr="00F2527B">
              <w:t xml:space="preserve"> edukacinės erdvės</w:t>
            </w:r>
            <w:r w:rsidR="00AD0159" w:rsidRPr="00F2527B">
              <w:t>,</w:t>
            </w:r>
            <w:r w:rsidR="0097255A" w:rsidRPr="00F2527B">
              <w:t xml:space="preserve"> kuriose </w:t>
            </w:r>
            <w:r w:rsidR="00E7672D" w:rsidRPr="00F2527B">
              <w:t>eksponuojami inkilai: „Inkilų kaimas“ ir „Paukštelių nameliai“</w:t>
            </w:r>
            <w:r w:rsidRPr="00F2527B">
              <w:t xml:space="preserve"> dviejose erdvėse</w:t>
            </w:r>
            <w:r w:rsidR="00E7672D" w:rsidRPr="00F2527B">
              <w:t>. Sukurtos 5 pasakų erdvės, kur ugdytiniai ugdo(si) komunikacinę kompetenciją, kūrybiškumą</w:t>
            </w:r>
            <w:r w:rsidR="00147CA4" w:rsidRPr="00F2527B">
              <w:t>.</w:t>
            </w:r>
            <w:r w:rsidR="0065016D" w:rsidRPr="00F2527B">
              <w:t xml:space="preserve"> Socialinių partnerių inicijuoti (Kuršėnų politechnikos mokyklos mokiniai pagamino ir padovanojo lauko bibliotekėlę) įrengėme 1 lauko bibliotekėlės erdvę.</w:t>
            </w:r>
          </w:p>
        </w:tc>
      </w:tr>
      <w:tr w:rsidR="0076606F" w:rsidRPr="00F2527B" w14:paraId="75CF348F" w14:textId="77777777" w:rsidTr="00DB726F">
        <w:trPr>
          <w:trHeight w:val="886"/>
        </w:trPr>
        <w:tc>
          <w:tcPr>
            <w:tcW w:w="9875" w:type="dxa"/>
          </w:tcPr>
          <w:p w14:paraId="6BD6C2DF" w14:textId="77777777" w:rsidR="0065016D" w:rsidRPr="00F2527B" w:rsidRDefault="003B6304" w:rsidP="0097255A">
            <w:pPr>
              <w:pStyle w:val="prastasiniatinklio"/>
              <w:spacing w:before="0" w:beforeAutospacing="0" w:after="0" w:afterAutospacing="0"/>
              <w:ind w:left="-2" w:hanging="2"/>
              <w:jc w:val="both"/>
            </w:pPr>
            <w:r w:rsidRPr="00F2527B">
              <w:rPr>
                <w:b/>
              </w:rPr>
              <w:lastRenderedPageBreak/>
              <w:t>Tikslo įgyvendinimo apibendrinimas.</w:t>
            </w:r>
            <w:r w:rsidR="0065016D" w:rsidRPr="00F2527B">
              <w:t xml:space="preserve"> Tikslas įgyvendintas. Įvykdyta daugiau priemonių negu numatyta: sukurta 4-iomis edukacinėmis erdvėmis daugiau. </w:t>
            </w:r>
          </w:p>
          <w:p w14:paraId="630FF24C" w14:textId="7BDD1760" w:rsidR="0076606F" w:rsidRPr="00F2527B" w:rsidRDefault="0065016D" w:rsidP="0097255A">
            <w:pPr>
              <w:pStyle w:val="prastasiniatinklio"/>
              <w:spacing w:before="0" w:beforeAutospacing="0" w:after="0" w:afterAutospacing="0"/>
              <w:ind w:left="-2" w:hanging="2"/>
              <w:jc w:val="both"/>
            </w:pPr>
            <w:r w:rsidRPr="00F2527B">
              <w:t>Vaikų domėjimasis IKT, interaktyvių ir skaitmeninių priemonių prieinamumas paskatino 100 proc. mokytojų taikyti interaktyvias ir skaitmenines technologijas, siekiant kiekvieno vaiko individualių gebėjimų ugdymo(si).</w:t>
            </w:r>
          </w:p>
        </w:tc>
      </w:tr>
    </w:tbl>
    <w:p w14:paraId="003FD93D" w14:textId="7BCD5268" w:rsidR="000D2C14" w:rsidRPr="00F2527B" w:rsidRDefault="000D2C14" w:rsidP="00B81415">
      <w:pPr>
        <w:pStyle w:val="Pagrindinistekstas"/>
        <w:spacing w:after="0" w:line="240" w:lineRule="auto"/>
        <w:ind w:firstLine="709"/>
        <w:jc w:val="both"/>
        <w:rPr>
          <w:b/>
          <w:kern w:val="36"/>
        </w:rPr>
      </w:pPr>
    </w:p>
    <w:p w14:paraId="538A66FE" w14:textId="6921C048" w:rsidR="00161B6A" w:rsidRPr="00F2527B" w:rsidRDefault="00147CA4" w:rsidP="000A1504">
      <w:pPr>
        <w:pStyle w:val="Pagrindinistekstas"/>
        <w:spacing w:after="0" w:line="240" w:lineRule="auto"/>
        <w:ind w:firstLine="567"/>
        <w:jc w:val="both"/>
      </w:pPr>
      <w:r w:rsidRPr="00F2527B">
        <w:t xml:space="preserve">Didžiuojamės ugdytinių </w:t>
      </w:r>
      <w:r w:rsidR="003F6F30" w:rsidRPr="00F2527B">
        <w:t xml:space="preserve">aktyviu dalyvavimu ir </w:t>
      </w:r>
      <w:r w:rsidRPr="00F2527B">
        <w:t>pasiekimais įvairiuose konkursuose</w:t>
      </w:r>
      <w:r w:rsidR="003F6F30" w:rsidRPr="00F2527B">
        <w:t>: Šiaulių rajono ikimokyklinio ugdymo įstaigų šokių konkurse</w:t>
      </w:r>
      <w:r w:rsidR="00920918" w:rsidRPr="00F2527B">
        <w:t xml:space="preserve"> „Medutis“ Lopšelio-darželio šokių grupė pelnė I vietą, Šiaulių miesto ir rajono vaikų piešinių konkurse „Saldainių šalis“ 1 ugdytiniui įteiktas II vietos laureato diplomas, 2 ugdytiniams – nominacija „Už dėmesį detalėms“, Šiaulių rajono priešmokyklinio ugdymo grupių konkurse „Aš galiu, aš moku“ 1 ugdytiniui skirta nominacija „Už artistiškumą“. </w:t>
      </w:r>
    </w:p>
    <w:p w14:paraId="2389D0C2" w14:textId="56BF965F" w:rsidR="00161B6A" w:rsidRPr="00F2527B" w:rsidRDefault="00161B6A" w:rsidP="000A1504">
      <w:pPr>
        <w:pStyle w:val="prastasiniatinklio"/>
        <w:spacing w:before="0" w:beforeAutospacing="0" w:after="0" w:afterAutospacing="0" w:line="276" w:lineRule="auto"/>
        <w:ind w:left="-2" w:firstLine="567"/>
        <w:jc w:val="both"/>
        <w:rPr>
          <w:b/>
          <w:bCs/>
        </w:rPr>
      </w:pPr>
      <w:r w:rsidRPr="00F2527B">
        <w:t>Ugdytiniams organizuotos edukacinės išvykos į Kuršėnų Vytauto Vitkausko biblioteką, Kuršėnų Dvaro sodybą, Kuršėnų vasaros skaityklą, Šiaulių miesto lankytinas vietas, dviračių muziejų, Kuršėnų sporto mokyklą, Alpakų ūkį Dargaičiuose</w:t>
      </w:r>
      <w:r w:rsidR="0053406A" w:rsidRPr="00F2527B">
        <w:t>.</w:t>
      </w:r>
    </w:p>
    <w:p w14:paraId="4C4D5C17" w14:textId="35BFE6C7" w:rsidR="00316517" w:rsidRPr="00F2527B" w:rsidRDefault="00316517" w:rsidP="000A1504">
      <w:pPr>
        <w:pStyle w:val="Pagrindinistekstas"/>
        <w:spacing w:after="0" w:line="240" w:lineRule="auto"/>
        <w:ind w:firstLine="567"/>
        <w:jc w:val="both"/>
      </w:pPr>
      <w:r w:rsidRPr="00F2527B">
        <w:t>Sėkmingai įgyvendinti projektai „Sveikatiada“, „Lietuvos mažųjų žaidynės“, „Sveikata visus metus“, „Žaidimai moko“. Aktyviai dalyvauta kasmetinėje akcijoje „Mes rūšiuojam“.</w:t>
      </w:r>
    </w:p>
    <w:p w14:paraId="283067E5" w14:textId="53EEFC3B" w:rsidR="00161B6A" w:rsidRPr="00F2527B" w:rsidRDefault="00161B6A" w:rsidP="000A1504">
      <w:pPr>
        <w:pStyle w:val="prastasiniatinklio"/>
        <w:spacing w:before="0" w:beforeAutospacing="0" w:after="0" w:afterAutospacing="0" w:line="276" w:lineRule="auto"/>
        <w:ind w:left="-2" w:firstLine="567"/>
        <w:jc w:val="both"/>
      </w:pPr>
      <w:r w:rsidRPr="00F2527B">
        <w:t>Lopšelio-darželio bendruomenė aktyviai įsitraukė į Kuršėnų miesto renginius (Rudens šventė</w:t>
      </w:r>
      <w:r w:rsidR="00B70228" w:rsidRPr="00F2527B">
        <w:t>–k</w:t>
      </w:r>
      <w:r w:rsidRPr="00F2527B">
        <w:t>ermošius „Jomarkas 2021“, „Kalėdinių eglių ir vaikystės rogučių“ paroda).</w:t>
      </w:r>
    </w:p>
    <w:p w14:paraId="236AFD68" w14:textId="4E70E3F5" w:rsidR="00161B6A" w:rsidRPr="00F2527B" w:rsidRDefault="00DB726F" w:rsidP="004D106C">
      <w:pPr>
        <w:pStyle w:val="Pagrindinistekstas"/>
        <w:spacing w:after="0" w:line="240" w:lineRule="auto"/>
        <w:ind w:firstLine="567"/>
        <w:jc w:val="both"/>
      </w:pPr>
      <w:r w:rsidRPr="00F2527B">
        <w:t>Atliktas Lopšelio-darželio pastato (Liepų al. 3) išorės kapitalinis remontas: sudarytos sąlygos bendruomenės narių saugumui, pagerintas pastato eksterjero estetinis vaizdas, tikimasi ekonominio naudingumo. Suremontuotos dvi vidaus laiptinės, pakeistos pastato išorės plokštės (Daugėlių g. 74).</w:t>
      </w:r>
      <w:r w:rsidR="00EE136A" w:rsidRPr="00F2527B">
        <w:t xml:space="preserve"> Lopšelio-darželio kiemuose įrenginėjamos </w:t>
      </w:r>
      <w:r w:rsidR="003B6304" w:rsidRPr="00F2527B">
        <w:t xml:space="preserve">liejamos </w:t>
      </w:r>
      <w:r w:rsidR="00EE136A" w:rsidRPr="00F2527B">
        <w:t>žaidimų aikštelių dangos, sporto aikštynas, dviratukų-triratukų  takai, pak</w:t>
      </w:r>
      <w:r w:rsidR="008F59C6" w:rsidRPr="00F2527B">
        <w:t>eistos pavadinimo švieslentės,</w:t>
      </w:r>
      <w:r w:rsidR="00EE136A" w:rsidRPr="00F2527B">
        <w:t xml:space="preserve"> oficiali iškaba</w:t>
      </w:r>
      <w:r w:rsidR="008F59C6" w:rsidRPr="00F2527B">
        <w:t>, įsigyta inovatyvių ugdymo(si) priemonių ir  kt</w:t>
      </w:r>
      <w:r w:rsidR="00EE136A" w:rsidRPr="00F2527B">
        <w:t>.</w:t>
      </w:r>
      <w:r w:rsidRPr="00F2527B">
        <w:t xml:space="preserve"> </w:t>
      </w:r>
    </w:p>
    <w:p w14:paraId="6CD1DAB1" w14:textId="2AA6190D" w:rsidR="00390CB5" w:rsidRPr="00F2527B" w:rsidRDefault="00390CB5" w:rsidP="00B81415">
      <w:pPr>
        <w:pStyle w:val="Sraopastraipa"/>
        <w:tabs>
          <w:tab w:val="left" w:pos="851"/>
        </w:tabs>
        <w:ind w:left="0" w:firstLine="709"/>
        <w:rPr>
          <w:color w:val="auto"/>
          <w:sz w:val="24"/>
          <w:szCs w:val="24"/>
        </w:rPr>
      </w:pPr>
      <w:r w:rsidRPr="00F2527B">
        <w:rPr>
          <w:color w:val="auto"/>
          <w:sz w:val="24"/>
          <w:szCs w:val="24"/>
        </w:rPr>
        <w:t>2021 metų Lopšelio-darželio veiklos planas, ikimokyklinio / priešmokyklinio ugdymo programa</w:t>
      </w:r>
      <w:r w:rsidR="0076606F" w:rsidRPr="00F2527B">
        <w:rPr>
          <w:color w:val="auto"/>
          <w:sz w:val="24"/>
          <w:szCs w:val="24"/>
        </w:rPr>
        <w:t xml:space="preserve"> bei</w:t>
      </w:r>
      <w:r w:rsidRPr="00F2527B">
        <w:rPr>
          <w:color w:val="auto"/>
          <w:sz w:val="24"/>
          <w:szCs w:val="24"/>
        </w:rPr>
        <w:t xml:space="preserve"> projektai įgyvendinti naudojant lėšas:</w:t>
      </w:r>
    </w:p>
    <w:p w14:paraId="411BC637" w14:textId="77777777" w:rsidR="00161B6A" w:rsidRPr="00F2527B" w:rsidRDefault="00161B6A" w:rsidP="00B81415">
      <w:pPr>
        <w:pStyle w:val="Sraopastraipa"/>
        <w:tabs>
          <w:tab w:val="left" w:pos="851"/>
        </w:tabs>
        <w:ind w:left="0" w:firstLine="709"/>
        <w:rPr>
          <w:color w:val="auto"/>
          <w:sz w:val="24"/>
          <w:szCs w:val="24"/>
        </w:rPr>
      </w:pPr>
    </w:p>
    <w:tbl>
      <w:tblPr>
        <w:tblStyle w:val="Lentelstinklelis"/>
        <w:tblW w:w="9529" w:type="dxa"/>
        <w:tblLook w:val="04A0" w:firstRow="1" w:lastRow="0" w:firstColumn="1" w:lastColumn="0" w:noHBand="0" w:noVBand="1"/>
      </w:tblPr>
      <w:tblGrid>
        <w:gridCol w:w="2803"/>
        <w:gridCol w:w="1443"/>
        <w:gridCol w:w="1617"/>
        <w:gridCol w:w="1443"/>
        <w:gridCol w:w="2223"/>
      </w:tblGrid>
      <w:tr w:rsidR="00F2527B" w:rsidRPr="00F2527B" w14:paraId="139B8EA4" w14:textId="77777777" w:rsidTr="00AF714E">
        <w:trPr>
          <w:trHeight w:val="2843"/>
        </w:trPr>
        <w:tc>
          <w:tcPr>
            <w:tcW w:w="2803" w:type="dxa"/>
          </w:tcPr>
          <w:p w14:paraId="7281D8C4" w14:textId="4ACBFD5D" w:rsidR="008A18CA" w:rsidRPr="00F2527B" w:rsidRDefault="008A18CA" w:rsidP="00AF714E">
            <w:pPr>
              <w:autoSpaceDN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F2527B">
              <w:rPr>
                <w:b/>
                <w:bCs/>
                <w:sz w:val="24"/>
                <w:szCs w:val="24"/>
              </w:rPr>
              <w:t>Lopšelis-darželis</w:t>
            </w:r>
          </w:p>
        </w:tc>
        <w:tc>
          <w:tcPr>
            <w:tcW w:w="1443" w:type="dxa"/>
          </w:tcPr>
          <w:p w14:paraId="7A65C951" w14:textId="77777777" w:rsidR="008A18CA" w:rsidRPr="00F2527B" w:rsidRDefault="008A18CA" w:rsidP="00AF714E">
            <w:pPr>
              <w:autoSpaceDN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F2527B">
              <w:rPr>
                <w:b/>
                <w:bCs/>
                <w:sz w:val="24"/>
                <w:szCs w:val="24"/>
              </w:rPr>
              <w:t>Asignavimų planas</w:t>
            </w:r>
          </w:p>
          <w:p w14:paraId="2DE91AD8" w14:textId="77777777" w:rsidR="008A18CA" w:rsidRPr="00F2527B" w:rsidRDefault="008A18CA" w:rsidP="00AF714E">
            <w:pPr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F2527B">
              <w:rPr>
                <w:b/>
                <w:bCs/>
                <w:sz w:val="24"/>
                <w:szCs w:val="24"/>
              </w:rPr>
              <w:t>(Eur)</w:t>
            </w:r>
          </w:p>
        </w:tc>
        <w:tc>
          <w:tcPr>
            <w:tcW w:w="1617" w:type="dxa"/>
          </w:tcPr>
          <w:p w14:paraId="62B79207" w14:textId="77777777" w:rsidR="008A18CA" w:rsidRPr="00F2527B" w:rsidRDefault="008A18CA" w:rsidP="00AF714E">
            <w:pPr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F2527B">
              <w:rPr>
                <w:b/>
                <w:bCs/>
                <w:sz w:val="24"/>
                <w:szCs w:val="24"/>
              </w:rPr>
              <w:t>Asignavimų planas, įskaitant patikslinimus ataskaitiniam laikotarpiui (Eur)</w:t>
            </w:r>
          </w:p>
        </w:tc>
        <w:tc>
          <w:tcPr>
            <w:tcW w:w="1443" w:type="dxa"/>
          </w:tcPr>
          <w:p w14:paraId="376A1446" w14:textId="77777777" w:rsidR="008A18CA" w:rsidRPr="00F2527B" w:rsidRDefault="008A18CA" w:rsidP="00AF714E">
            <w:pPr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F2527B">
              <w:rPr>
                <w:b/>
                <w:sz w:val="24"/>
                <w:szCs w:val="24"/>
              </w:rPr>
              <w:t>Panaudota</w:t>
            </w:r>
          </w:p>
          <w:p w14:paraId="7B989353" w14:textId="77777777" w:rsidR="008A18CA" w:rsidRPr="00F2527B" w:rsidRDefault="008A18CA" w:rsidP="00AF714E">
            <w:pPr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F2527B">
              <w:rPr>
                <w:b/>
                <w:sz w:val="24"/>
                <w:szCs w:val="24"/>
              </w:rPr>
              <w:t xml:space="preserve">Asignavimų </w:t>
            </w:r>
            <w:r w:rsidRPr="00F2527B">
              <w:rPr>
                <w:b/>
                <w:bCs/>
                <w:sz w:val="24"/>
                <w:szCs w:val="24"/>
              </w:rPr>
              <w:t>(Eur)</w:t>
            </w:r>
          </w:p>
        </w:tc>
        <w:tc>
          <w:tcPr>
            <w:tcW w:w="2223" w:type="dxa"/>
          </w:tcPr>
          <w:p w14:paraId="2758C573" w14:textId="77777777" w:rsidR="008A18CA" w:rsidRPr="00F2527B" w:rsidRDefault="008A18CA" w:rsidP="00AF714E">
            <w:pPr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F2527B">
              <w:rPr>
                <w:b/>
                <w:sz w:val="24"/>
                <w:szCs w:val="24"/>
              </w:rPr>
              <w:t>Panaudota asignavimų nuo asignavimų, nurodytų asignavimų plane, įskaitant patikslinimus ataskaitiniam laikotarpiui, dalis (proc.)</w:t>
            </w:r>
          </w:p>
        </w:tc>
      </w:tr>
      <w:tr w:rsidR="00F2527B" w:rsidRPr="00F2527B" w14:paraId="2B8F5C32" w14:textId="77777777" w:rsidTr="00AF714E">
        <w:tc>
          <w:tcPr>
            <w:tcW w:w="2803" w:type="dxa"/>
          </w:tcPr>
          <w:p w14:paraId="51BBF674" w14:textId="1017108A" w:rsidR="008A18CA" w:rsidRPr="00F2527B" w:rsidRDefault="00390CB5" w:rsidP="00AF714E">
            <w:pPr>
              <w:autoSpaceDN w:val="0"/>
              <w:textAlignment w:val="baseline"/>
              <w:rPr>
                <w:bCs/>
                <w:sz w:val="24"/>
                <w:szCs w:val="24"/>
              </w:rPr>
            </w:pPr>
            <w:r w:rsidRPr="00F2527B">
              <w:rPr>
                <w:bCs/>
                <w:sz w:val="24"/>
                <w:szCs w:val="24"/>
              </w:rPr>
              <w:t>S</w:t>
            </w:r>
            <w:r w:rsidR="008A18CA" w:rsidRPr="00F2527B">
              <w:rPr>
                <w:bCs/>
                <w:sz w:val="24"/>
                <w:szCs w:val="24"/>
              </w:rPr>
              <w:t>avivaldybės biudžeto</w:t>
            </w:r>
          </w:p>
        </w:tc>
        <w:tc>
          <w:tcPr>
            <w:tcW w:w="1443" w:type="dxa"/>
          </w:tcPr>
          <w:p w14:paraId="32EAA7EB" w14:textId="77777777" w:rsidR="008A18CA" w:rsidRPr="00F2527B" w:rsidRDefault="008A18CA" w:rsidP="00AF714E">
            <w:pPr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F2527B">
              <w:rPr>
                <w:sz w:val="24"/>
                <w:szCs w:val="24"/>
              </w:rPr>
              <w:t>452880,00</w:t>
            </w:r>
          </w:p>
        </w:tc>
        <w:tc>
          <w:tcPr>
            <w:tcW w:w="1617" w:type="dxa"/>
          </w:tcPr>
          <w:p w14:paraId="6F38ABCC" w14:textId="77777777" w:rsidR="008A18CA" w:rsidRPr="00F2527B" w:rsidRDefault="008A18CA" w:rsidP="00AF714E">
            <w:pPr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F2527B">
              <w:rPr>
                <w:sz w:val="24"/>
                <w:szCs w:val="24"/>
              </w:rPr>
              <w:t>477530,00</w:t>
            </w:r>
          </w:p>
        </w:tc>
        <w:tc>
          <w:tcPr>
            <w:tcW w:w="1443" w:type="dxa"/>
          </w:tcPr>
          <w:p w14:paraId="6C23B19C" w14:textId="77777777" w:rsidR="008A18CA" w:rsidRPr="00F2527B" w:rsidRDefault="008A18CA" w:rsidP="00AF714E">
            <w:pPr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F2527B">
              <w:rPr>
                <w:sz w:val="24"/>
                <w:szCs w:val="24"/>
              </w:rPr>
              <w:t>477515,57</w:t>
            </w:r>
          </w:p>
        </w:tc>
        <w:tc>
          <w:tcPr>
            <w:tcW w:w="2223" w:type="dxa"/>
          </w:tcPr>
          <w:p w14:paraId="30619B4B" w14:textId="77777777" w:rsidR="008A18CA" w:rsidRPr="00F2527B" w:rsidRDefault="008A18CA" w:rsidP="00AF714E">
            <w:pPr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F2527B">
              <w:rPr>
                <w:sz w:val="24"/>
                <w:szCs w:val="24"/>
              </w:rPr>
              <w:t>99,99 proc.</w:t>
            </w:r>
          </w:p>
        </w:tc>
      </w:tr>
      <w:tr w:rsidR="00F2527B" w:rsidRPr="00F2527B" w14:paraId="0A80CC02" w14:textId="77777777" w:rsidTr="00AF714E">
        <w:tc>
          <w:tcPr>
            <w:tcW w:w="2803" w:type="dxa"/>
          </w:tcPr>
          <w:p w14:paraId="35D0BCBC" w14:textId="5FE22937" w:rsidR="008A18CA" w:rsidRPr="00F2527B" w:rsidRDefault="00390CB5" w:rsidP="00AF714E">
            <w:pPr>
              <w:autoSpaceDN w:val="0"/>
              <w:textAlignment w:val="baseline"/>
              <w:rPr>
                <w:bCs/>
                <w:sz w:val="24"/>
                <w:szCs w:val="24"/>
              </w:rPr>
            </w:pPr>
            <w:r w:rsidRPr="00F2527B">
              <w:rPr>
                <w:bCs/>
                <w:sz w:val="24"/>
                <w:szCs w:val="24"/>
              </w:rPr>
              <w:t>V</w:t>
            </w:r>
            <w:r w:rsidR="008A18CA" w:rsidRPr="00F2527B">
              <w:rPr>
                <w:bCs/>
                <w:sz w:val="24"/>
                <w:szCs w:val="24"/>
              </w:rPr>
              <w:t>alstybės biudžeto</w:t>
            </w:r>
          </w:p>
        </w:tc>
        <w:tc>
          <w:tcPr>
            <w:tcW w:w="1443" w:type="dxa"/>
          </w:tcPr>
          <w:p w14:paraId="23E55895" w14:textId="77777777" w:rsidR="008A18CA" w:rsidRPr="00F2527B" w:rsidRDefault="008A18CA" w:rsidP="00AF714E">
            <w:pPr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F2527B">
              <w:rPr>
                <w:sz w:val="24"/>
                <w:szCs w:val="24"/>
              </w:rPr>
              <w:t>303752,00</w:t>
            </w:r>
          </w:p>
        </w:tc>
        <w:tc>
          <w:tcPr>
            <w:tcW w:w="1617" w:type="dxa"/>
          </w:tcPr>
          <w:p w14:paraId="30840F44" w14:textId="77777777" w:rsidR="008A18CA" w:rsidRPr="00F2527B" w:rsidRDefault="008A18CA" w:rsidP="00AF714E">
            <w:pPr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F2527B">
              <w:rPr>
                <w:sz w:val="24"/>
                <w:szCs w:val="24"/>
              </w:rPr>
              <w:t>316007,00</w:t>
            </w:r>
          </w:p>
        </w:tc>
        <w:tc>
          <w:tcPr>
            <w:tcW w:w="1443" w:type="dxa"/>
          </w:tcPr>
          <w:p w14:paraId="554A73F3" w14:textId="77777777" w:rsidR="008A18CA" w:rsidRPr="00F2527B" w:rsidRDefault="008A18CA" w:rsidP="00AF714E">
            <w:pPr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F2527B">
              <w:rPr>
                <w:sz w:val="24"/>
                <w:szCs w:val="24"/>
              </w:rPr>
              <w:t>316007,00</w:t>
            </w:r>
          </w:p>
        </w:tc>
        <w:tc>
          <w:tcPr>
            <w:tcW w:w="2223" w:type="dxa"/>
          </w:tcPr>
          <w:p w14:paraId="244F1FB9" w14:textId="77777777" w:rsidR="008A18CA" w:rsidRPr="00F2527B" w:rsidRDefault="008A18CA" w:rsidP="00AF714E">
            <w:pPr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F2527B">
              <w:rPr>
                <w:sz w:val="24"/>
                <w:szCs w:val="24"/>
              </w:rPr>
              <w:t>100,00 proc.</w:t>
            </w:r>
          </w:p>
        </w:tc>
      </w:tr>
      <w:tr w:rsidR="00F2527B" w:rsidRPr="00F2527B" w14:paraId="37B3FAAB" w14:textId="77777777" w:rsidTr="00AF714E">
        <w:tc>
          <w:tcPr>
            <w:tcW w:w="2803" w:type="dxa"/>
          </w:tcPr>
          <w:p w14:paraId="0A1F2D5D" w14:textId="503D3436" w:rsidR="008A18CA" w:rsidRPr="00F2527B" w:rsidRDefault="00390CB5" w:rsidP="00AF714E">
            <w:pPr>
              <w:autoSpaceDN w:val="0"/>
              <w:textAlignment w:val="baseline"/>
              <w:rPr>
                <w:bCs/>
                <w:sz w:val="24"/>
                <w:szCs w:val="24"/>
              </w:rPr>
            </w:pPr>
            <w:r w:rsidRPr="00F2527B">
              <w:rPr>
                <w:bCs/>
                <w:sz w:val="24"/>
                <w:szCs w:val="24"/>
              </w:rPr>
              <w:t>Į</w:t>
            </w:r>
            <w:r w:rsidR="008A18CA" w:rsidRPr="00F2527B">
              <w:rPr>
                <w:bCs/>
                <w:sz w:val="24"/>
                <w:szCs w:val="24"/>
              </w:rPr>
              <w:t>staigos pajamas</w:t>
            </w:r>
          </w:p>
        </w:tc>
        <w:tc>
          <w:tcPr>
            <w:tcW w:w="1443" w:type="dxa"/>
          </w:tcPr>
          <w:p w14:paraId="691C0AF2" w14:textId="77777777" w:rsidR="008A18CA" w:rsidRPr="00F2527B" w:rsidRDefault="008A18CA" w:rsidP="00AF714E">
            <w:pPr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F2527B">
              <w:rPr>
                <w:sz w:val="24"/>
                <w:szCs w:val="24"/>
              </w:rPr>
              <w:t>64783,51</w:t>
            </w:r>
          </w:p>
        </w:tc>
        <w:tc>
          <w:tcPr>
            <w:tcW w:w="1617" w:type="dxa"/>
          </w:tcPr>
          <w:p w14:paraId="73DCCEA9" w14:textId="77777777" w:rsidR="008A18CA" w:rsidRPr="00F2527B" w:rsidRDefault="008A18CA" w:rsidP="00AF714E">
            <w:pPr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F2527B">
              <w:rPr>
                <w:sz w:val="24"/>
                <w:szCs w:val="24"/>
              </w:rPr>
              <w:t>62783,51</w:t>
            </w:r>
          </w:p>
        </w:tc>
        <w:tc>
          <w:tcPr>
            <w:tcW w:w="1443" w:type="dxa"/>
          </w:tcPr>
          <w:p w14:paraId="78F1270C" w14:textId="77777777" w:rsidR="008A18CA" w:rsidRPr="00F2527B" w:rsidRDefault="008A18CA" w:rsidP="00AF714E">
            <w:pPr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F2527B">
              <w:rPr>
                <w:sz w:val="24"/>
                <w:szCs w:val="24"/>
              </w:rPr>
              <w:t>53780,35</w:t>
            </w:r>
          </w:p>
        </w:tc>
        <w:tc>
          <w:tcPr>
            <w:tcW w:w="2223" w:type="dxa"/>
          </w:tcPr>
          <w:p w14:paraId="5673E8BA" w14:textId="77777777" w:rsidR="008A18CA" w:rsidRPr="00F2527B" w:rsidRDefault="008A18CA" w:rsidP="00AF714E">
            <w:pPr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F2527B">
              <w:rPr>
                <w:sz w:val="24"/>
                <w:szCs w:val="24"/>
              </w:rPr>
              <w:t>85,66 proc.</w:t>
            </w:r>
          </w:p>
        </w:tc>
      </w:tr>
      <w:tr w:rsidR="00F2527B" w:rsidRPr="00F2527B" w14:paraId="7FD0CD8A" w14:textId="77777777" w:rsidTr="00AF714E">
        <w:tc>
          <w:tcPr>
            <w:tcW w:w="2803" w:type="dxa"/>
          </w:tcPr>
          <w:p w14:paraId="0EA43676" w14:textId="77777777" w:rsidR="008A18CA" w:rsidRPr="00F2527B" w:rsidRDefault="008A18CA" w:rsidP="00AF714E">
            <w:pPr>
              <w:autoSpaceDN w:val="0"/>
              <w:textAlignment w:val="baseline"/>
              <w:rPr>
                <w:bCs/>
                <w:sz w:val="24"/>
                <w:szCs w:val="24"/>
              </w:rPr>
            </w:pPr>
            <w:r w:rsidRPr="00F2527B">
              <w:rPr>
                <w:bCs/>
                <w:sz w:val="24"/>
                <w:szCs w:val="24"/>
              </w:rPr>
              <w:t>Iš viso:</w:t>
            </w:r>
          </w:p>
        </w:tc>
        <w:tc>
          <w:tcPr>
            <w:tcW w:w="1443" w:type="dxa"/>
          </w:tcPr>
          <w:p w14:paraId="4CC9F328" w14:textId="77777777" w:rsidR="008A18CA" w:rsidRPr="00F2527B" w:rsidRDefault="008A18CA" w:rsidP="00AF714E">
            <w:pPr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F2527B">
              <w:rPr>
                <w:b/>
                <w:sz w:val="24"/>
                <w:szCs w:val="24"/>
              </w:rPr>
              <w:t>821415,51</w:t>
            </w:r>
          </w:p>
        </w:tc>
        <w:tc>
          <w:tcPr>
            <w:tcW w:w="1617" w:type="dxa"/>
          </w:tcPr>
          <w:p w14:paraId="7A821866" w14:textId="77777777" w:rsidR="008A18CA" w:rsidRPr="00F2527B" w:rsidRDefault="008A18CA" w:rsidP="00AF714E">
            <w:pPr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F2527B">
              <w:rPr>
                <w:b/>
                <w:sz w:val="24"/>
                <w:szCs w:val="24"/>
              </w:rPr>
              <w:t>856320,51</w:t>
            </w:r>
          </w:p>
        </w:tc>
        <w:tc>
          <w:tcPr>
            <w:tcW w:w="1443" w:type="dxa"/>
          </w:tcPr>
          <w:p w14:paraId="6BEEFD35" w14:textId="77777777" w:rsidR="008A18CA" w:rsidRPr="00F2527B" w:rsidRDefault="008A18CA" w:rsidP="00AF714E">
            <w:pPr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F2527B">
              <w:rPr>
                <w:b/>
                <w:sz w:val="24"/>
                <w:szCs w:val="24"/>
              </w:rPr>
              <w:t>847302,92</w:t>
            </w:r>
          </w:p>
        </w:tc>
        <w:tc>
          <w:tcPr>
            <w:tcW w:w="2223" w:type="dxa"/>
          </w:tcPr>
          <w:p w14:paraId="4A74D9B5" w14:textId="77777777" w:rsidR="008A18CA" w:rsidRPr="00F2527B" w:rsidRDefault="008A18CA" w:rsidP="00AF714E">
            <w:pPr>
              <w:autoSpaceDN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F2527B">
              <w:rPr>
                <w:b/>
                <w:bCs/>
                <w:sz w:val="24"/>
                <w:szCs w:val="24"/>
              </w:rPr>
              <w:t>98,95 proc.</w:t>
            </w:r>
          </w:p>
        </w:tc>
      </w:tr>
      <w:tr w:rsidR="00F2527B" w:rsidRPr="00F2527B" w14:paraId="657506DB" w14:textId="77777777" w:rsidTr="00390CB5">
        <w:tc>
          <w:tcPr>
            <w:tcW w:w="2803" w:type="dxa"/>
          </w:tcPr>
          <w:p w14:paraId="086A30B4" w14:textId="0EA2B2F2" w:rsidR="008A18CA" w:rsidRPr="00F2527B" w:rsidRDefault="008A18CA" w:rsidP="00AF714E">
            <w:pPr>
              <w:autoSpaceDN w:val="0"/>
              <w:textAlignment w:val="baseline"/>
              <w:rPr>
                <w:bCs/>
                <w:sz w:val="24"/>
                <w:szCs w:val="24"/>
              </w:rPr>
            </w:pPr>
            <w:r w:rsidRPr="00F2527B">
              <w:rPr>
                <w:bCs/>
                <w:sz w:val="24"/>
                <w:szCs w:val="24"/>
              </w:rPr>
              <w:t xml:space="preserve">Europos Sąjungos parama </w:t>
            </w:r>
            <w:r w:rsidRPr="00F2527B">
              <w:rPr>
                <w:iCs/>
                <w:sz w:val="24"/>
                <w:szCs w:val="24"/>
              </w:rPr>
              <w:t xml:space="preserve">Vaisių ir daržovių bei pieno ir pieno produktų vartojimo skatinimo vaikų </w:t>
            </w:r>
            <w:r w:rsidRPr="00F2527B">
              <w:rPr>
                <w:iCs/>
                <w:sz w:val="24"/>
                <w:szCs w:val="24"/>
              </w:rPr>
              <w:lastRenderedPageBreak/>
              <w:t>ugdymo įstaigose programos įgyvendinimui</w:t>
            </w:r>
          </w:p>
        </w:tc>
        <w:tc>
          <w:tcPr>
            <w:tcW w:w="1443" w:type="dxa"/>
          </w:tcPr>
          <w:p w14:paraId="6CDB2FBF" w14:textId="32E322BE" w:rsidR="008A18CA" w:rsidRPr="00F2527B" w:rsidRDefault="008A18CA" w:rsidP="00AF714E">
            <w:pPr>
              <w:autoSpaceDN w:val="0"/>
              <w:jc w:val="center"/>
              <w:textAlignment w:val="baseline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17" w:type="dxa"/>
          </w:tcPr>
          <w:p w14:paraId="2FC3A1BB" w14:textId="77777777" w:rsidR="008A18CA" w:rsidRPr="00F2527B" w:rsidRDefault="008A18CA" w:rsidP="00AF714E">
            <w:pPr>
              <w:autoSpaceDN w:val="0"/>
              <w:jc w:val="center"/>
              <w:textAlignment w:val="baseline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3" w:type="dxa"/>
            <w:vAlign w:val="center"/>
          </w:tcPr>
          <w:p w14:paraId="7F2059C6" w14:textId="3E51C8F3" w:rsidR="008A18CA" w:rsidRPr="00F2527B" w:rsidRDefault="00390CB5" w:rsidP="00390CB5">
            <w:pPr>
              <w:autoSpaceDN w:val="0"/>
              <w:jc w:val="center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F2527B">
              <w:rPr>
                <w:sz w:val="24"/>
                <w:szCs w:val="24"/>
                <w:shd w:val="clear" w:color="auto" w:fill="FFFFFF"/>
              </w:rPr>
              <w:t>2890,95</w:t>
            </w:r>
          </w:p>
        </w:tc>
        <w:tc>
          <w:tcPr>
            <w:tcW w:w="2223" w:type="dxa"/>
          </w:tcPr>
          <w:p w14:paraId="1720EEC7" w14:textId="77777777" w:rsidR="008A18CA" w:rsidRPr="00F2527B" w:rsidRDefault="008A18CA" w:rsidP="00AF714E">
            <w:pPr>
              <w:autoSpaceDN w:val="0"/>
              <w:jc w:val="center"/>
              <w:textAlignment w:val="baseline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F2527B" w:rsidRPr="00F2527B" w14:paraId="19003873" w14:textId="77777777" w:rsidTr="00AF714E">
        <w:tc>
          <w:tcPr>
            <w:tcW w:w="2803" w:type="dxa"/>
          </w:tcPr>
          <w:p w14:paraId="5594F319" w14:textId="77777777" w:rsidR="008A18CA" w:rsidRPr="00F2527B" w:rsidRDefault="008A18CA" w:rsidP="00390CB5">
            <w:pPr>
              <w:autoSpaceDN w:val="0"/>
              <w:textAlignment w:val="baseline"/>
              <w:rPr>
                <w:bCs/>
                <w:sz w:val="24"/>
                <w:szCs w:val="24"/>
              </w:rPr>
            </w:pPr>
            <w:r w:rsidRPr="00F2527B">
              <w:rPr>
                <w:bCs/>
                <w:sz w:val="24"/>
                <w:szCs w:val="24"/>
              </w:rPr>
              <w:lastRenderedPageBreak/>
              <w:t>ERASMUS+ Mokyklų mainų strateginė partnerystė.</w:t>
            </w:r>
          </w:p>
          <w:p w14:paraId="4E3EE35E" w14:textId="77777777" w:rsidR="008A18CA" w:rsidRPr="00F2527B" w:rsidRDefault="008A18CA" w:rsidP="00390CB5">
            <w:pPr>
              <w:autoSpaceDN w:val="0"/>
              <w:textAlignment w:val="baseline"/>
              <w:rPr>
                <w:bCs/>
                <w:sz w:val="24"/>
                <w:szCs w:val="24"/>
              </w:rPr>
            </w:pPr>
            <w:r w:rsidRPr="00F2527B">
              <w:rPr>
                <w:bCs/>
                <w:sz w:val="24"/>
                <w:szCs w:val="24"/>
              </w:rPr>
              <w:t>Švietimo mainų paramos fondas.</w:t>
            </w:r>
          </w:p>
          <w:p w14:paraId="5DA56C75" w14:textId="77777777" w:rsidR="008A18CA" w:rsidRPr="00F2527B" w:rsidRDefault="008A18CA" w:rsidP="00390CB5">
            <w:pPr>
              <w:autoSpaceDN w:val="0"/>
              <w:textAlignment w:val="baseline"/>
              <w:rPr>
                <w:bCs/>
                <w:sz w:val="24"/>
                <w:szCs w:val="24"/>
              </w:rPr>
            </w:pPr>
            <w:r w:rsidRPr="00F2527B">
              <w:rPr>
                <w:bCs/>
                <w:sz w:val="24"/>
                <w:szCs w:val="24"/>
              </w:rPr>
              <w:t>„LISTEN, TALK, SPELL, ACT“</w:t>
            </w:r>
          </w:p>
        </w:tc>
        <w:tc>
          <w:tcPr>
            <w:tcW w:w="1443" w:type="dxa"/>
          </w:tcPr>
          <w:p w14:paraId="2E3EA025" w14:textId="77777777" w:rsidR="008A18CA" w:rsidRPr="00F2527B" w:rsidRDefault="008A18CA" w:rsidP="00AF714E">
            <w:pPr>
              <w:autoSpaceDN w:val="0"/>
              <w:jc w:val="center"/>
              <w:textAlignment w:val="baseline"/>
              <w:rPr>
                <w:sz w:val="24"/>
                <w:szCs w:val="24"/>
                <w:shd w:val="clear" w:color="auto" w:fill="FFFFFF"/>
              </w:rPr>
            </w:pPr>
          </w:p>
          <w:p w14:paraId="3392648A" w14:textId="77777777" w:rsidR="008A18CA" w:rsidRPr="00F2527B" w:rsidRDefault="008A18CA" w:rsidP="00AF714E">
            <w:pPr>
              <w:rPr>
                <w:sz w:val="24"/>
                <w:szCs w:val="24"/>
              </w:rPr>
            </w:pPr>
          </w:p>
          <w:p w14:paraId="1227C559" w14:textId="77777777" w:rsidR="008A18CA" w:rsidRPr="00F2527B" w:rsidRDefault="008A18CA" w:rsidP="00AF714E">
            <w:pPr>
              <w:rPr>
                <w:sz w:val="24"/>
                <w:szCs w:val="24"/>
                <w:shd w:val="clear" w:color="auto" w:fill="FFFFFF"/>
              </w:rPr>
            </w:pPr>
          </w:p>
          <w:p w14:paraId="1ACA9830" w14:textId="77777777" w:rsidR="008A18CA" w:rsidRPr="00F2527B" w:rsidRDefault="008A18CA" w:rsidP="00AF714E">
            <w:pPr>
              <w:jc w:val="center"/>
              <w:rPr>
                <w:sz w:val="24"/>
                <w:szCs w:val="24"/>
              </w:rPr>
            </w:pPr>
            <w:r w:rsidRPr="00F2527B">
              <w:rPr>
                <w:sz w:val="24"/>
                <w:szCs w:val="24"/>
              </w:rPr>
              <w:t>642,81</w:t>
            </w:r>
          </w:p>
        </w:tc>
        <w:tc>
          <w:tcPr>
            <w:tcW w:w="1617" w:type="dxa"/>
          </w:tcPr>
          <w:p w14:paraId="693D2D65" w14:textId="77777777" w:rsidR="008A18CA" w:rsidRPr="00F2527B" w:rsidRDefault="008A18CA" w:rsidP="00AF714E">
            <w:pPr>
              <w:autoSpaceDN w:val="0"/>
              <w:jc w:val="center"/>
              <w:textAlignment w:val="baseline"/>
              <w:rPr>
                <w:sz w:val="24"/>
                <w:szCs w:val="24"/>
                <w:shd w:val="clear" w:color="auto" w:fill="FFFFFF"/>
              </w:rPr>
            </w:pPr>
          </w:p>
          <w:p w14:paraId="6B03723A" w14:textId="77777777" w:rsidR="008A18CA" w:rsidRPr="00F2527B" w:rsidRDefault="008A18CA" w:rsidP="00AF714E">
            <w:pPr>
              <w:autoSpaceDN w:val="0"/>
              <w:jc w:val="center"/>
              <w:textAlignment w:val="baseline"/>
              <w:rPr>
                <w:sz w:val="24"/>
                <w:szCs w:val="24"/>
                <w:shd w:val="clear" w:color="auto" w:fill="FFFFFF"/>
              </w:rPr>
            </w:pPr>
          </w:p>
          <w:p w14:paraId="7E42028B" w14:textId="77777777" w:rsidR="008A18CA" w:rsidRPr="00F2527B" w:rsidRDefault="008A18CA" w:rsidP="00AF714E">
            <w:pPr>
              <w:autoSpaceDN w:val="0"/>
              <w:jc w:val="center"/>
              <w:textAlignment w:val="baseline"/>
              <w:rPr>
                <w:sz w:val="24"/>
                <w:szCs w:val="24"/>
                <w:shd w:val="clear" w:color="auto" w:fill="FFFFFF"/>
              </w:rPr>
            </w:pPr>
          </w:p>
          <w:p w14:paraId="456888DB" w14:textId="77777777" w:rsidR="008A18CA" w:rsidRPr="00F2527B" w:rsidRDefault="008A18CA" w:rsidP="00AF714E">
            <w:pPr>
              <w:autoSpaceDN w:val="0"/>
              <w:jc w:val="center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F2527B">
              <w:rPr>
                <w:sz w:val="24"/>
                <w:szCs w:val="24"/>
                <w:shd w:val="clear" w:color="auto" w:fill="FFFFFF"/>
              </w:rPr>
              <w:t>642,81</w:t>
            </w:r>
          </w:p>
          <w:p w14:paraId="565704DC" w14:textId="77777777" w:rsidR="008A18CA" w:rsidRPr="00F2527B" w:rsidRDefault="008A18CA" w:rsidP="00AF714E">
            <w:pPr>
              <w:autoSpaceDN w:val="0"/>
              <w:jc w:val="center"/>
              <w:textAlignment w:val="baseline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3" w:type="dxa"/>
          </w:tcPr>
          <w:p w14:paraId="63625AD0" w14:textId="77777777" w:rsidR="008A18CA" w:rsidRPr="00F2527B" w:rsidRDefault="008A18CA" w:rsidP="00AF714E">
            <w:pPr>
              <w:autoSpaceDN w:val="0"/>
              <w:jc w:val="center"/>
              <w:textAlignment w:val="baseline"/>
              <w:rPr>
                <w:sz w:val="24"/>
                <w:szCs w:val="24"/>
                <w:shd w:val="clear" w:color="auto" w:fill="FFFFFF"/>
              </w:rPr>
            </w:pPr>
          </w:p>
          <w:p w14:paraId="4F42D72C" w14:textId="77777777" w:rsidR="008A18CA" w:rsidRPr="00F2527B" w:rsidRDefault="008A18CA" w:rsidP="00AF714E">
            <w:pPr>
              <w:autoSpaceDN w:val="0"/>
              <w:jc w:val="center"/>
              <w:textAlignment w:val="baseline"/>
              <w:rPr>
                <w:sz w:val="24"/>
                <w:szCs w:val="24"/>
                <w:shd w:val="clear" w:color="auto" w:fill="FFFFFF"/>
              </w:rPr>
            </w:pPr>
          </w:p>
          <w:p w14:paraId="52458541" w14:textId="77777777" w:rsidR="008A18CA" w:rsidRPr="00F2527B" w:rsidRDefault="008A18CA" w:rsidP="00AF714E">
            <w:pPr>
              <w:autoSpaceDN w:val="0"/>
              <w:jc w:val="center"/>
              <w:textAlignment w:val="baseline"/>
              <w:rPr>
                <w:sz w:val="24"/>
                <w:szCs w:val="24"/>
                <w:shd w:val="clear" w:color="auto" w:fill="FFFFFF"/>
              </w:rPr>
            </w:pPr>
          </w:p>
          <w:p w14:paraId="5015F963" w14:textId="77777777" w:rsidR="008A18CA" w:rsidRPr="00F2527B" w:rsidRDefault="008A18CA" w:rsidP="00AF714E">
            <w:pPr>
              <w:autoSpaceDN w:val="0"/>
              <w:jc w:val="center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F2527B">
              <w:rPr>
                <w:sz w:val="24"/>
                <w:szCs w:val="24"/>
                <w:shd w:val="clear" w:color="auto" w:fill="FFFFFF"/>
              </w:rPr>
              <w:t>148,00</w:t>
            </w:r>
          </w:p>
          <w:p w14:paraId="760D1E95" w14:textId="77777777" w:rsidR="008A18CA" w:rsidRPr="00F2527B" w:rsidRDefault="008A18CA" w:rsidP="00AF714E">
            <w:pPr>
              <w:autoSpaceDN w:val="0"/>
              <w:jc w:val="center"/>
              <w:textAlignment w:val="baseline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23" w:type="dxa"/>
          </w:tcPr>
          <w:p w14:paraId="705B2F3D" w14:textId="77777777" w:rsidR="008A18CA" w:rsidRPr="00F2527B" w:rsidRDefault="008A18CA" w:rsidP="00AF714E">
            <w:pPr>
              <w:autoSpaceDN w:val="0"/>
              <w:jc w:val="center"/>
              <w:textAlignment w:val="baseline"/>
              <w:rPr>
                <w:sz w:val="24"/>
                <w:szCs w:val="24"/>
                <w:shd w:val="clear" w:color="auto" w:fill="FFFFFF"/>
              </w:rPr>
            </w:pPr>
          </w:p>
          <w:p w14:paraId="753033C3" w14:textId="77777777" w:rsidR="008A18CA" w:rsidRPr="00F2527B" w:rsidRDefault="008A18CA" w:rsidP="00AF714E">
            <w:pPr>
              <w:rPr>
                <w:sz w:val="24"/>
                <w:szCs w:val="24"/>
              </w:rPr>
            </w:pPr>
          </w:p>
          <w:p w14:paraId="553EC2BD" w14:textId="77777777" w:rsidR="008A18CA" w:rsidRPr="00F2527B" w:rsidRDefault="008A18CA" w:rsidP="00AF714E">
            <w:pPr>
              <w:rPr>
                <w:sz w:val="24"/>
                <w:szCs w:val="24"/>
                <w:shd w:val="clear" w:color="auto" w:fill="FFFFFF"/>
              </w:rPr>
            </w:pPr>
          </w:p>
          <w:p w14:paraId="63C1B316" w14:textId="77777777" w:rsidR="008A18CA" w:rsidRPr="00F2527B" w:rsidRDefault="008A18CA" w:rsidP="00AF714E">
            <w:pPr>
              <w:jc w:val="center"/>
              <w:rPr>
                <w:sz w:val="24"/>
                <w:szCs w:val="24"/>
              </w:rPr>
            </w:pPr>
            <w:r w:rsidRPr="00F2527B">
              <w:rPr>
                <w:sz w:val="24"/>
                <w:szCs w:val="24"/>
              </w:rPr>
              <w:t>23,02 proc.</w:t>
            </w:r>
          </w:p>
        </w:tc>
      </w:tr>
      <w:tr w:rsidR="00F2527B" w:rsidRPr="00F2527B" w14:paraId="77BAB000" w14:textId="77777777" w:rsidTr="00AF714E">
        <w:tc>
          <w:tcPr>
            <w:tcW w:w="2803" w:type="dxa"/>
          </w:tcPr>
          <w:p w14:paraId="38824502" w14:textId="77777777" w:rsidR="008A18CA" w:rsidRPr="00F2527B" w:rsidRDefault="008A18CA" w:rsidP="00390CB5">
            <w:pPr>
              <w:autoSpaceDN w:val="0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F2527B">
              <w:rPr>
                <w:sz w:val="24"/>
                <w:szCs w:val="24"/>
                <w:shd w:val="clear" w:color="auto" w:fill="FFFFFF"/>
              </w:rPr>
              <w:t>ERASMUS+ Mokyklų mainų strateginė partnerystė.</w:t>
            </w:r>
          </w:p>
          <w:p w14:paraId="789E1E29" w14:textId="77777777" w:rsidR="008A18CA" w:rsidRPr="00F2527B" w:rsidRDefault="008A18CA" w:rsidP="00390CB5">
            <w:pPr>
              <w:autoSpaceDN w:val="0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F2527B">
              <w:rPr>
                <w:sz w:val="24"/>
                <w:szCs w:val="24"/>
                <w:shd w:val="clear" w:color="auto" w:fill="FFFFFF"/>
              </w:rPr>
              <w:t>Švietimo mainų paramos fondas.</w:t>
            </w:r>
          </w:p>
          <w:p w14:paraId="64F81330" w14:textId="77777777" w:rsidR="008A18CA" w:rsidRPr="00F2527B" w:rsidRDefault="008A18CA" w:rsidP="00390CB5">
            <w:pPr>
              <w:autoSpaceDN w:val="0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F2527B">
              <w:rPr>
                <w:sz w:val="24"/>
                <w:szCs w:val="24"/>
                <w:shd w:val="clear" w:color="auto" w:fill="FFFFFF"/>
              </w:rPr>
              <w:t>„Myths, Tales, Art and Games for Intercultural Cooperation“</w:t>
            </w:r>
          </w:p>
        </w:tc>
        <w:tc>
          <w:tcPr>
            <w:tcW w:w="1443" w:type="dxa"/>
          </w:tcPr>
          <w:p w14:paraId="1C0501DD" w14:textId="77777777" w:rsidR="008A18CA" w:rsidRPr="00F2527B" w:rsidRDefault="008A18CA" w:rsidP="00AF714E">
            <w:pPr>
              <w:autoSpaceDN w:val="0"/>
              <w:jc w:val="center"/>
              <w:textAlignment w:val="baseline"/>
              <w:rPr>
                <w:sz w:val="24"/>
                <w:szCs w:val="24"/>
                <w:shd w:val="clear" w:color="auto" w:fill="FFFFFF"/>
              </w:rPr>
            </w:pPr>
          </w:p>
          <w:p w14:paraId="07254492" w14:textId="77777777" w:rsidR="008A18CA" w:rsidRPr="00F2527B" w:rsidRDefault="008A18CA" w:rsidP="00AF714E">
            <w:pPr>
              <w:rPr>
                <w:sz w:val="24"/>
                <w:szCs w:val="24"/>
              </w:rPr>
            </w:pPr>
          </w:p>
          <w:p w14:paraId="3BC43AE1" w14:textId="77777777" w:rsidR="008A18CA" w:rsidRPr="00F2527B" w:rsidRDefault="008A18CA" w:rsidP="00AF714E">
            <w:pPr>
              <w:rPr>
                <w:sz w:val="24"/>
                <w:szCs w:val="24"/>
                <w:shd w:val="clear" w:color="auto" w:fill="FFFFFF"/>
              </w:rPr>
            </w:pPr>
          </w:p>
          <w:p w14:paraId="72139929" w14:textId="77777777" w:rsidR="008A18CA" w:rsidRPr="00F2527B" w:rsidRDefault="008A18CA" w:rsidP="00AF714E">
            <w:pPr>
              <w:jc w:val="center"/>
              <w:rPr>
                <w:sz w:val="24"/>
                <w:szCs w:val="24"/>
              </w:rPr>
            </w:pPr>
            <w:r w:rsidRPr="00F2527B">
              <w:rPr>
                <w:sz w:val="24"/>
                <w:szCs w:val="24"/>
              </w:rPr>
              <w:t>6881,17</w:t>
            </w:r>
          </w:p>
        </w:tc>
        <w:tc>
          <w:tcPr>
            <w:tcW w:w="1617" w:type="dxa"/>
          </w:tcPr>
          <w:p w14:paraId="74E7A869" w14:textId="77777777" w:rsidR="008A18CA" w:rsidRPr="00F2527B" w:rsidRDefault="008A18CA" w:rsidP="00AF714E">
            <w:pPr>
              <w:autoSpaceDN w:val="0"/>
              <w:jc w:val="center"/>
              <w:textAlignment w:val="baseline"/>
              <w:rPr>
                <w:sz w:val="24"/>
                <w:szCs w:val="24"/>
                <w:shd w:val="clear" w:color="auto" w:fill="FFFFFF"/>
              </w:rPr>
            </w:pPr>
          </w:p>
          <w:p w14:paraId="7634C159" w14:textId="77777777" w:rsidR="008A18CA" w:rsidRPr="00F2527B" w:rsidRDefault="008A18CA" w:rsidP="00AF714E">
            <w:pPr>
              <w:autoSpaceDN w:val="0"/>
              <w:jc w:val="center"/>
              <w:textAlignment w:val="baseline"/>
              <w:rPr>
                <w:sz w:val="24"/>
                <w:szCs w:val="24"/>
                <w:shd w:val="clear" w:color="auto" w:fill="FFFFFF"/>
              </w:rPr>
            </w:pPr>
          </w:p>
          <w:p w14:paraId="60EA6140" w14:textId="77777777" w:rsidR="008A18CA" w:rsidRPr="00F2527B" w:rsidRDefault="008A18CA" w:rsidP="00AF714E">
            <w:pPr>
              <w:autoSpaceDN w:val="0"/>
              <w:jc w:val="center"/>
              <w:textAlignment w:val="baseline"/>
              <w:rPr>
                <w:sz w:val="24"/>
                <w:szCs w:val="24"/>
                <w:shd w:val="clear" w:color="auto" w:fill="FFFFFF"/>
              </w:rPr>
            </w:pPr>
          </w:p>
          <w:p w14:paraId="1AA1C013" w14:textId="77777777" w:rsidR="008A18CA" w:rsidRPr="00F2527B" w:rsidRDefault="008A18CA" w:rsidP="00AF714E">
            <w:pPr>
              <w:autoSpaceDN w:val="0"/>
              <w:jc w:val="center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F2527B">
              <w:rPr>
                <w:sz w:val="24"/>
                <w:szCs w:val="24"/>
                <w:shd w:val="clear" w:color="auto" w:fill="FFFFFF"/>
              </w:rPr>
              <w:t>6881,17</w:t>
            </w:r>
          </w:p>
        </w:tc>
        <w:tc>
          <w:tcPr>
            <w:tcW w:w="1443" w:type="dxa"/>
          </w:tcPr>
          <w:p w14:paraId="4A525AFD" w14:textId="77777777" w:rsidR="008A18CA" w:rsidRPr="00F2527B" w:rsidRDefault="008A18CA" w:rsidP="00AF714E">
            <w:pPr>
              <w:autoSpaceDN w:val="0"/>
              <w:jc w:val="center"/>
              <w:textAlignment w:val="baseline"/>
              <w:rPr>
                <w:sz w:val="24"/>
                <w:szCs w:val="24"/>
                <w:shd w:val="clear" w:color="auto" w:fill="FFFFFF"/>
              </w:rPr>
            </w:pPr>
          </w:p>
          <w:p w14:paraId="54797DB1" w14:textId="77777777" w:rsidR="008A18CA" w:rsidRPr="00F2527B" w:rsidRDefault="008A18CA" w:rsidP="00AF714E">
            <w:pPr>
              <w:autoSpaceDN w:val="0"/>
              <w:jc w:val="center"/>
              <w:textAlignment w:val="baseline"/>
              <w:rPr>
                <w:sz w:val="24"/>
                <w:szCs w:val="24"/>
                <w:shd w:val="clear" w:color="auto" w:fill="FFFFFF"/>
              </w:rPr>
            </w:pPr>
          </w:p>
          <w:p w14:paraId="53D7CAB6" w14:textId="77777777" w:rsidR="008A18CA" w:rsidRPr="00F2527B" w:rsidRDefault="008A18CA" w:rsidP="00AF714E">
            <w:pPr>
              <w:autoSpaceDN w:val="0"/>
              <w:jc w:val="center"/>
              <w:textAlignment w:val="baseline"/>
              <w:rPr>
                <w:sz w:val="24"/>
                <w:szCs w:val="24"/>
                <w:shd w:val="clear" w:color="auto" w:fill="FFFFFF"/>
              </w:rPr>
            </w:pPr>
          </w:p>
          <w:p w14:paraId="18889909" w14:textId="77777777" w:rsidR="008A18CA" w:rsidRPr="00F2527B" w:rsidRDefault="008A18CA" w:rsidP="00AF714E">
            <w:pPr>
              <w:autoSpaceDN w:val="0"/>
              <w:jc w:val="center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F2527B">
              <w:rPr>
                <w:sz w:val="24"/>
                <w:szCs w:val="24"/>
                <w:shd w:val="clear" w:color="auto" w:fill="FFFFFF"/>
              </w:rPr>
              <w:t>3632,65</w:t>
            </w:r>
          </w:p>
        </w:tc>
        <w:tc>
          <w:tcPr>
            <w:tcW w:w="2223" w:type="dxa"/>
          </w:tcPr>
          <w:p w14:paraId="4B63BDD8" w14:textId="77777777" w:rsidR="008A18CA" w:rsidRPr="00F2527B" w:rsidRDefault="008A18CA" w:rsidP="00AF714E">
            <w:pPr>
              <w:autoSpaceDN w:val="0"/>
              <w:jc w:val="center"/>
              <w:textAlignment w:val="baseline"/>
              <w:rPr>
                <w:sz w:val="24"/>
                <w:szCs w:val="24"/>
                <w:shd w:val="clear" w:color="auto" w:fill="FFFFFF"/>
              </w:rPr>
            </w:pPr>
          </w:p>
          <w:p w14:paraId="4C76DD90" w14:textId="77777777" w:rsidR="008A18CA" w:rsidRPr="00F2527B" w:rsidRDefault="008A18CA" w:rsidP="00AF714E">
            <w:pPr>
              <w:rPr>
                <w:sz w:val="24"/>
                <w:szCs w:val="24"/>
              </w:rPr>
            </w:pPr>
          </w:p>
          <w:p w14:paraId="071EABD7" w14:textId="77777777" w:rsidR="008A18CA" w:rsidRPr="00F2527B" w:rsidRDefault="008A18CA" w:rsidP="00AF714E">
            <w:pPr>
              <w:rPr>
                <w:sz w:val="24"/>
                <w:szCs w:val="24"/>
                <w:shd w:val="clear" w:color="auto" w:fill="FFFFFF"/>
              </w:rPr>
            </w:pPr>
          </w:p>
          <w:p w14:paraId="3EB3185E" w14:textId="77777777" w:rsidR="008A18CA" w:rsidRPr="00F2527B" w:rsidRDefault="008A18CA" w:rsidP="00AF714E">
            <w:pPr>
              <w:jc w:val="center"/>
              <w:rPr>
                <w:sz w:val="24"/>
                <w:szCs w:val="24"/>
              </w:rPr>
            </w:pPr>
            <w:r w:rsidRPr="00F2527B">
              <w:rPr>
                <w:sz w:val="24"/>
                <w:szCs w:val="24"/>
              </w:rPr>
              <w:t>52,79 proc.</w:t>
            </w:r>
          </w:p>
        </w:tc>
      </w:tr>
      <w:tr w:rsidR="00F2527B" w:rsidRPr="00F2527B" w14:paraId="3CFEC257" w14:textId="77777777" w:rsidTr="00AF714E">
        <w:tc>
          <w:tcPr>
            <w:tcW w:w="2803" w:type="dxa"/>
          </w:tcPr>
          <w:p w14:paraId="4FFEF8BE" w14:textId="77777777" w:rsidR="008A18CA" w:rsidRPr="00F2527B" w:rsidRDefault="008A18CA" w:rsidP="00390CB5">
            <w:pPr>
              <w:autoSpaceDN w:val="0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F2527B">
              <w:rPr>
                <w:sz w:val="24"/>
                <w:szCs w:val="24"/>
                <w:shd w:val="clear" w:color="auto" w:fill="FFFFFF"/>
              </w:rPr>
              <w:t>Aplinkos apsaugos rėmimo spec. programa „Fizinis raštingumas - raktas į sveiką kūną“</w:t>
            </w:r>
          </w:p>
        </w:tc>
        <w:tc>
          <w:tcPr>
            <w:tcW w:w="1443" w:type="dxa"/>
          </w:tcPr>
          <w:p w14:paraId="03997DE6" w14:textId="77777777" w:rsidR="008A18CA" w:rsidRPr="00F2527B" w:rsidRDefault="008A18CA" w:rsidP="00AF714E">
            <w:pPr>
              <w:autoSpaceDN w:val="0"/>
              <w:jc w:val="center"/>
              <w:textAlignment w:val="baseline"/>
              <w:rPr>
                <w:sz w:val="24"/>
                <w:szCs w:val="24"/>
                <w:shd w:val="clear" w:color="auto" w:fill="FFFFFF"/>
              </w:rPr>
            </w:pPr>
          </w:p>
          <w:p w14:paraId="327F911C" w14:textId="77777777" w:rsidR="008A18CA" w:rsidRPr="00F2527B" w:rsidRDefault="008A18CA" w:rsidP="00AF714E">
            <w:pPr>
              <w:autoSpaceDN w:val="0"/>
              <w:jc w:val="center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F2527B">
              <w:rPr>
                <w:sz w:val="24"/>
                <w:szCs w:val="24"/>
                <w:shd w:val="clear" w:color="auto" w:fill="FFFFFF"/>
              </w:rPr>
              <w:t>500,00</w:t>
            </w:r>
          </w:p>
        </w:tc>
        <w:tc>
          <w:tcPr>
            <w:tcW w:w="1617" w:type="dxa"/>
          </w:tcPr>
          <w:p w14:paraId="62EEAD9F" w14:textId="77777777" w:rsidR="008A18CA" w:rsidRPr="00F2527B" w:rsidRDefault="008A18CA" w:rsidP="00AF714E">
            <w:pPr>
              <w:autoSpaceDN w:val="0"/>
              <w:jc w:val="center"/>
              <w:textAlignment w:val="baseline"/>
              <w:rPr>
                <w:sz w:val="24"/>
                <w:szCs w:val="24"/>
                <w:shd w:val="clear" w:color="auto" w:fill="FFFFFF"/>
              </w:rPr>
            </w:pPr>
          </w:p>
          <w:p w14:paraId="79878D6B" w14:textId="77777777" w:rsidR="008A18CA" w:rsidRPr="00F2527B" w:rsidRDefault="008A18CA" w:rsidP="00AF714E">
            <w:pPr>
              <w:autoSpaceDN w:val="0"/>
              <w:jc w:val="center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F2527B">
              <w:rPr>
                <w:sz w:val="24"/>
                <w:szCs w:val="24"/>
                <w:shd w:val="clear" w:color="auto" w:fill="FFFFFF"/>
              </w:rPr>
              <w:t>500,00</w:t>
            </w:r>
          </w:p>
        </w:tc>
        <w:tc>
          <w:tcPr>
            <w:tcW w:w="1443" w:type="dxa"/>
          </w:tcPr>
          <w:p w14:paraId="604927D9" w14:textId="77777777" w:rsidR="008A18CA" w:rsidRPr="00F2527B" w:rsidRDefault="008A18CA" w:rsidP="00AF714E">
            <w:pPr>
              <w:autoSpaceDN w:val="0"/>
              <w:jc w:val="center"/>
              <w:textAlignment w:val="baseline"/>
              <w:rPr>
                <w:sz w:val="24"/>
                <w:szCs w:val="24"/>
                <w:shd w:val="clear" w:color="auto" w:fill="FFFFFF"/>
              </w:rPr>
            </w:pPr>
          </w:p>
          <w:p w14:paraId="718A91E9" w14:textId="77777777" w:rsidR="008A18CA" w:rsidRPr="00F2527B" w:rsidRDefault="008A18CA" w:rsidP="00AF714E">
            <w:pPr>
              <w:autoSpaceDN w:val="0"/>
              <w:jc w:val="center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F2527B">
              <w:rPr>
                <w:sz w:val="24"/>
                <w:szCs w:val="24"/>
                <w:shd w:val="clear" w:color="auto" w:fill="FFFFFF"/>
              </w:rPr>
              <w:t>500,00</w:t>
            </w:r>
          </w:p>
        </w:tc>
        <w:tc>
          <w:tcPr>
            <w:tcW w:w="2223" w:type="dxa"/>
          </w:tcPr>
          <w:p w14:paraId="6C0C8EEE" w14:textId="77777777" w:rsidR="008A18CA" w:rsidRPr="00F2527B" w:rsidRDefault="008A18CA" w:rsidP="00AF714E">
            <w:pPr>
              <w:autoSpaceDN w:val="0"/>
              <w:jc w:val="center"/>
              <w:textAlignment w:val="baseline"/>
              <w:rPr>
                <w:sz w:val="24"/>
                <w:szCs w:val="24"/>
                <w:shd w:val="clear" w:color="auto" w:fill="FFFFFF"/>
              </w:rPr>
            </w:pPr>
          </w:p>
          <w:p w14:paraId="38D420E5" w14:textId="77777777" w:rsidR="008A18CA" w:rsidRPr="00F2527B" w:rsidRDefault="008A18CA" w:rsidP="00AF714E">
            <w:pPr>
              <w:autoSpaceDN w:val="0"/>
              <w:jc w:val="center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F2527B">
              <w:rPr>
                <w:sz w:val="24"/>
                <w:szCs w:val="24"/>
                <w:shd w:val="clear" w:color="auto" w:fill="FFFFFF"/>
              </w:rPr>
              <w:t>100,00 proc.</w:t>
            </w:r>
          </w:p>
        </w:tc>
      </w:tr>
      <w:tr w:rsidR="00F2527B" w:rsidRPr="00F2527B" w14:paraId="3D241653" w14:textId="77777777" w:rsidTr="00AF714E">
        <w:tc>
          <w:tcPr>
            <w:tcW w:w="2803" w:type="dxa"/>
          </w:tcPr>
          <w:p w14:paraId="14725295" w14:textId="77777777" w:rsidR="008A18CA" w:rsidRPr="00F2527B" w:rsidRDefault="008A18CA" w:rsidP="00390CB5">
            <w:pPr>
              <w:autoSpaceDN w:val="0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F2527B">
              <w:rPr>
                <w:sz w:val="24"/>
                <w:szCs w:val="24"/>
                <w:shd w:val="clear" w:color="auto" w:fill="FFFFFF"/>
              </w:rPr>
              <w:t>Lietuvos Tautinis Olimpinis Komitetas</w:t>
            </w:r>
          </w:p>
        </w:tc>
        <w:tc>
          <w:tcPr>
            <w:tcW w:w="1443" w:type="dxa"/>
          </w:tcPr>
          <w:p w14:paraId="00D6E2D8" w14:textId="77777777" w:rsidR="008A18CA" w:rsidRPr="00F2527B" w:rsidRDefault="008A18CA" w:rsidP="00AF714E">
            <w:pPr>
              <w:autoSpaceDN w:val="0"/>
              <w:jc w:val="center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F2527B">
              <w:rPr>
                <w:sz w:val="24"/>
                <w:szCs w:val="24"/>
                <w:shd w:val="clear" w:color="auto" w:fill="FFFFFF"/>
              </w:rPr>
              <w:t>769,67</w:t>
            </w:r>
          </w:p>
        </w:tc>
        <w:tc>
          <w:tcPr>
            <w:tcW w:w="1617" w:type="dxa"/>
          </w:tcPr>
          <w:p w14:paraId="4EC91B3C" w14:textId="77777777" w:rsidR="008A18CA" w:rsidRPr="00F2527B" w:rsidRDefault="008A18CA" w:rsidP="00AF714E">
            <w:pPr>
              <w:autoSpaceDN w:val="0"/>
              <w:jc w:val="center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F2527B">
              <w:rPr>
                <w:sz w:val="24"/>
                <w:szCs w:val="24"/>
                <w:shd w:val="clear" w:color="auto" w:fill="FFFFFF"/>
              </w:rPr>
              <w:t>769,67</w:t>
            </w:r>
          </w:p>
        </w:tc>
        <w:tc>
          <w:tcPr>
            <w:tcW w:w="1443" w:type="dxa"/>
          </w:tcPr>
          <w:p w14:paraId="1426B16E" w14:textId="77777777" w:rsidR="008A18CA" w:rsidRPr="00F2527B" w:rsidRDefault="008A18CA" w:rsidP="00AF714E">
            <w:pPr>
              <w:autoSpaceDN w:val="0"/>
              <w:jc w:val="center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F2527B">
              <w:rPr>
                <w:sz w:val="24"/>
                <w:szCs w:val="24"/>
                <w:shd w:val="clear" w:color="auto" w:fill="FFFFFF"/>
              </w:rPr>
              <w:t>701,59</w:t>
            </w:r>
          </w:p>
        </w:tc>
        <w:tc>
          <w:tcPr>
            <w:tcW w:w="2223" w:type="dxa"/>
          </w:tcPr>
          <w:p w14:paraId="2B7185BB" w14:textId="77777777" w:rsidR="008A18CA" w:rsidRPr="00F2527B" w:rsidRDefault="008A18CA" w:rsidP="00AF714E">
            <w:pPr>
              <w:autoSpaceDN w:val="0"/>
              <w:jc w:val="center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F2527B">
              <w:rPr>
                <w:sz w:val="24"/>
                <w:szCs w:val="24"/>
                <w:shd w:val="clear" w:color="auto" w:fill="FFFFFF"/>
              </w:rPr>
              <w:t>91,15 proc.</w:t>
            </w:r>
          </w:p>
        </w:tc>
      </w:tr>
      <w:tr w:rsidR="00F2527B" w:rsidRPr="00F2527B" w14:paraId="733DB50F" w14:textId="77777777" w:rsidTr="00AF714E">
        <w:tc>
          <w:tcPr>
            <w:tcW w:w="2803" w:type="dxa"/>
          </w:tcPr>
          <w:p w14:paraId="2C793B41" w14:textId="77777777" w:rsidR="008A18CA" w:rsidRPr="00F2527B" w:rsidRDefault="008A18CA" w:rsidP="00390CB5">
            <w:pPr>
              <w:autoSpaceDN w:val="0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F2527B">
              <w:rPr>
                <w:sz w:val="24"/>
                <w:szCs w:val="24"/>
                <w:shd w:val="clear" w:color="auto" w:fill="FFFFFF"/>
              </w:rPr>
              <w:t>Paramos lėšos</w:t>
            </w:r>
          </w:p>
        </w:tc>
        <w:tc>
          <w:tcPr>
            <w:tcW w:w="1443" w:type="dxa"/>
          </w:tcPr>
          <w:p w14:paraId="41E302EE" w14:textId="77777777" w:rsidR="008A18CA" w:rsidRPr="00F2527B" w:rsidRDefault="008A18CA" w:rsidP="00AF714E">
            <w:pPr>
              <w:autoSpaceDN w:val="0"/>
              <w:jc w:val="center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F2527B">
              <w:rPr>
                <w:sz w:val="24"/>
                <w:szCs w:val="24"/>
                <w:shd w:val="clear" w:color="auto" w:fill="FFFFFF"/>
              </w:rPr>
              <w:t>2939,99</w:t>
            </w:r>
          </w:p>
        </w:tc>
        <w:tc>
          <w:tcPr>
            <w:tcW w:w="1617" w:type="dxa"/>
          </w:tcPr>
          <w:p w14:paraId="3CF447E4" w14:textId="77777777" w:rsidR="008A18CA" w:rsidRPr="00F2527B" w:rsidRDefault="008A18CA" w:rsidP="00AF714E">
            <w:pPr>
              <w:autoSpaceDN w:val="0"/>
              <w:jc w:val="center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F2527B">
              <w:rPr>
                <w:sz w:val="24"/>
                <w:szCs w:val="24"/>
                <w:shd w:val="clear" w:color="auto" w:fill="FFFFFF"/>
              </w:rPr>
              <w:t>6610,13</w:t>
            </w:r>
          </w:p>
        </w:tc>
        <w:tc>
          <w:tcPr>
            <w:tcW w:w="1443" w:type="dxa"/>
          </w:tcPr>
          <w:p w14:paraId="0276D118" w14:textId="77777777" w:rsidR="008A18CA" w:rsidRPr="00F2527B" w:rsidRDefault="008A18CA" w:rsidP="00AF714E">
            <w:pPr>
              <w:autoSpaceDN w:val="0"/>
              <w:jc w:val="center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F2527B">
              <w:rPr>
                <w:sz w:val="24"/>
                <w:szCs w:val="24"/>
                <w:shd w:val="clear" w:color="auto" w:fill="FFFFFF"/>
              </w:rPr>
              <w:t>2626,39</w:t>
            </w:r>
          </w:p>
        </w:tc>
        <w:tc>
          <w:tcPr>
            <w:tcW w:w="2223" w:type="dxa"/>
          </w:tcPr>
          <w:p w14:paraId="23404256" w14:textId="77777777" w:rsidR="008A18CA" w:rsidRPr="00F2527B" w:rsidRDefault="008A18CA" w:rsidP="00AF714E">
            <w:pPr>
              <w:autoSpaceDN w:val="0"/>
              <w:jc w:val="center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F2527B">
              <w:rPr>
                <w:sz w:val="24"/>
                <w:szCs w:val="24"/>
                <w:shd w:val="clear" w:color="auto" w:fill="FFFFFF"/>
              </w:rPr>
              <w:t>39,73 proc.</w:t>
            </w:r>
          </w:p>
        </w:tc>
      </w:tr>
    </w:tbl>
    <w:p w14:paraId="45ED81EC" w14:textId="4C0B9D3E" w:rsidR="00A14C06" w:rsidRPr="00F2527B" w:rsidRDefault="009A575F" w:rsidP="001201FE">
      <w:pPr>
        <w:ind w:firstLine="709"/>
        <w:jc w:val="both"/>
        <w:rPr>
          <w:szCs w:val="24"/>
          <w:lang w:eastAsia="lt-LT"/>
        </w:rPr>
      </w:pPr>
      <w:r w:rsidRPr="00F2527B">
        <w:rPr>
          <w:szCs w:val="24"/>
          <w:lang w:eastAsia="lt-LT"/>
        </w:rPr>
        <w:t>Ikimokyklinio ir priešmokyklinio ugdymo programų įgyvendinimui panaudota 100 proc. v</w:t>
      </w:r>
      <w:r w:rsidR="00390CB5" w:rsidRPr="00F2527B">
        <w:rPr>
          <w:szCs w:val="24"/>
          <w:lang w:eastAsia="lt-LT"/>
        </w:rPr>
        <w:t xml:space="preserve">alstybės </w:t>
      </w:r>
      <w:r w:rsidR="0007650B" w:rsidRPr="00F2527B">
        <w:rPr>
          <w:szCs w:val="24"/>
          <w:lang w:eastAsia="lt-LT"/>
        </w:rPr>
        <w:t>biudžeto</w:t>
      </w:r>
      <w:r w:rsidR="002A3158" w:rsidRPr="00F2527B">
        <w:rPr>
          <w:szCs w:val="24"/>
          <w:lang w:eastAsia="lt-LT"/>
        </w:rPr>
        <w:t xml:space="preserve"> ir 99,99 proc. savivaldybės biudžeto</w:t>
      </w:r>
      <w:r w:rsidR="0007650B" w:rsidRPr="00F2527B">
        <w:rPr>
          <w:szCs w:val="24"/>
          <w:lang w:eastAsia="lt-LT"/>
        </w:rPr>
        <w:t xml:space="preserve"> lėš</w:t>
      </w:r>
      <w:r w:rsidRPr="00F2527B">
        <w:rPr>
          <w:szCs w:val="24"/>
          <w:lang w:eastAsia="lt-LT"/>
        </w:rPr>
        <w:t>ų</w:t>
      </w:r>
      <w:r w:rsidR="00390CB5" w:rsidRPr="00F2527B">
        <w:rPr>
          <w:szCs w:val="24"/>
          <w:lang w:eastAsia="lt-LT"/>
        </w:rPr>
        <w:t>. 39,73 proc. paramos lėšų panaudota gerinant darbuotojų darbo ir ugdytinių ugdymo(si) sąlygas. P</w:t>
      </w:r>
      <w:r w:rsidR="001201FE" w:rsidRPr="00F2527B">
        <w:rPr>
          <w:szCs w:val="24"/>
          <w:lang w:eastAsia="lt-LT"/>
        </w:rPr>
        <w:t>rojekt</w:t>
      </w:r>
      <w:r w:rsidR="00390CB5" w:rsidRPr="00F2527B">
        <w:rPr>
          <w:szCs w:val="24"/>
          <w:lang w:eastAsia="lt-LT"/>
        </w:rPr>
        <w:t>ų lėšų liko nepanaudota</w:t>
      </w:r>
      <w:r w:rsidR="002A3158" w:rsidRPr="00F2527B">
        <w:rPr>
          <w:szCs w:val="24"/>
          <w:lang w:eastAsia="lt-LT"/>
        </w:rPr>
        <w:t>, dėl projektų veiklų tęstinumo 2022 metais</w:t>
      </w:r>
      <w:r w:rsidRPr="00F2527B">
        <w:rPr>
          <w:szCs w:val="24"/>
          <w:lang w:eastAsia="lt-LT"/>
        </w:rPr>
        <w:t>.</w:t>
      </w:r>
      <w:r w:rsidR="0007650B" w:rsidRPr="00F2527B">
        <w:rPr>
          <w:szCs w:val="24"/>
          <w:lang w:eastAsia="lt-LT"/>
        </w:rPr>
        <w:t xml:space="preserve"> </w:t>
      </w:r>
      <w:r w:rsidR="001201FE" w:rsidRPr="00F2527B">
        <w:rPr>
          <w:szCs w:val="24"/>
          <w:lang w:eastAsia="lt-LT"/>
        </w:rPr>
        <w:t>Lopšelio-darželio p</w:t>
      </w:r>
      <w:r w:rsidR="002A3158" w:rsidRPr="00F2527B">
        <w:rPr>
          <w:szCs w:val="24"/>
          <w:lang w:eastAsia="lt-LT"/>
        </w:rPr>
        <w:t>ajamų lėšų per metus panaudota 85,66 proc.</w:t>
      </w:r>
      <w:r w:rsidR="001201FE" w:rsidRPr="00F2527B">
        <w:rPr>
          <w:szCs w:val="24"/>
          <w:lang w:eastAsia="lt-LT"/>
        </w:rPr>
        <w:t>, likut</w:t>
      </w:r>
      <w:r w:rsidR="002A3158" w:rsidRPr="00F2527B">
        <w:rPr>
          <w:szCs w:val="24"/>
          <w:lang w:eastAsia="lt-LT"/>
        </w:rPr>
        <w:t>is – 1456,57 eurai</w:t>
      </w:r>
      <w:r w:rsidR="001D2BDE" w:rsidRPr="00F2527B">
        <w:rPr>
          <w:szCs w:val="24"/>
          <w:lang w:eastAsia="lt-LT"/>
        </w:rPr>
        <w:t xml:space="preserve"> per</w:t>
      </w:r>
      <w:r w:rsidR="002A3158" w:rsidRPr="00F2527B">
        <w:rPr>
          <w:szCs w:val="24"/>
          <w:lang w:eastAsia="lt-LT"/>
        </w:rPr>
        <w:t>kelti</w:t>
      </w:r>
      <w:r w:rsidR="001D2BDE" w:rsidRPr="00F2527B">
        <w:rPr>
          <w:szCs w:val="24"/>
          <w:lang w:eastAsia="lt-LT"/>
        </w:rPr>
        <w:t xml:space="preserve"> į 2022</w:t>
      </w:r>
      <w:r w:rsidR="001201FE" w:rsidRPr="00F2527B">
        <w:rPr>
          <w:szCs w:val="24"/>
          <w:lang w:eastAsia="lt-LT"/>
        </w:rPr>
        <w:t xml:space="preserve"> metų biudžetą.</w:t>
      </w:r>
    </w:p>
    <w:p w14:paraId="57490311" w14:textId="5B0DD089" w:rsidR="00523FCB" w:rsidRPr="00F2527B" w:rsidRDefault="00523FCB" w:rsidP="004D106C">
      <w:pPr>
        <w:rPr>
          <w:b/>
          <w:szCs w:val="24"/>
          <w:lang w:eastAsia="lt-LT"/>
        </w:rPr>
      </w:pPr>
    </w:p>
    <w:p w14:paraId="3C05FD13" w14:textId="2F7B6383" w:rsidR="004D106C" w:rsidRPr="00F2527B" w:rsidRDefault="004D106C" w:rsidP="004D106C">
      <w:pPr>
        <w:rPr>
          <w:bCs/>
          <w:szCs w:val="24"/>
          <w:lang w:eastAsia="lt-LT"/>
        </w:rPr>
      </w:pPr>
      <w:r w:rsidRPr="00F2527B">
        <w:rPr>
          <w:bCs/>
          <w:szCs w:val="24"/>
          <w:lang w:eastAsia="lt-LT"/>
        </w:rPr>
        <w:t>Ataskaitą parengė Lopšelio-darželio direktorė Violeta Kumžienė</w:t>
      </w:r>
    </w:p>
    <w:p w14:paraId="6C4C9598" w14:textId="2E011AFF" w:rsidR="004D106C" w:rsidRPr="00F2527B" w:rsidRDefault="004D106C" w:rsidP="004D106C">
      <w:pPr>
        <w:jc w:val="center"/>
        <w:rPr>
          <w:b/>
          <w:szCs w:val="24"/>
          <w:lang w:eastAsia="lt-LT"/>
        </w:rPr>
      </w:pPr>
      <w:r w:rsidRPr="00F2527B">
        <w:rPr>
          <w:b/>
          <w:szCs w:val="24"/>
          <w:lang w:eastAsia="lt-LT"/>
        </w:rPr>
        <w:t>_______________________</w:t>
      </w:r>
    </w:p>
    <w:sectPr w:rsidR="004D106C" w:rsidRPr="00F2527B" w:rsidSect="006C5EDB">
      <w:headerReference w:type="default" r:id="rId11"/>
      <w:footerReference w:type="default" r:id="rId12"/>
      <w:pgSz w:w="11907" w:h="16840" w:code="9"/>
      <w:pgMar w:top="1134" w:right="567" w:bottom="1134" w:left="1701" w:header="289" w:footer="51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1E7BB" w14:textId="77777777" w:rsidR="005E02BE" w:rsidRDefault="005E02BE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separator/>
      </w:r>
    </w:p>
  </w:endnote>
  <w:endnote w:type="continuationSeparator" w:id="0">
    <w:p w14:paraId="08CB76D4" w14:textId="77777777" w:rsidR="005E02BE" w:rsidRDefault="005E02BE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continuationSeparator/>
      </w:r>
    </w:p>
  </w:endnote>
  <w:endnote w:type="continuationNotice" w:id="1">
    <w:p w14:paraId="3B231AE3" w14:textId="77777777" w:rsidR="005E02BE" w:rsidRDefault="005E02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HelveticaLT">
    <w:altName w:val="Arial"/>
    <w:charset w:val="00"/>
    <w:family w:val="swiss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6540F" w14:textId="334A3C43" w:rsidR="00596F1D" w:rsidRDefault="00596F1D">
    <w:pPr>
      <w:pStyle w:val="Porat"/>
      <w:jc w:val="center"/>
    </w:pPr>
  </w:p>
  <w:p w14:paraId="6C53AB39" w14:textId="77777777" w:rsidR="00596F1D" w:rsidRDefault="00596F1D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7C853" w14:textId="77777777" w:rsidR="005E02BE" w:rsidRDefault="005E02BE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separator/>
      </w:r>
    </w:p>
  </w:footnote>
  <w:footnote w:type="continuationSeparator" w:id="0">
    <w:p w14:paraId="6FCE6075" w14:textId="77777777" w:rsidR="005E02BE" w:rsidRDefault="005E02BE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continuationSeparator/>
      </w:r>
    </w:p>
  </w:footnote>
  <w:footnote w:type="continuationNotice" w:id="1">
    <w:p w14:paraId="431987E3" w14:textId="77777777" w:rsidR="005E02BE" w:rsidRDefault="005E02B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0913327"/>
      <w:docPartObj>
        <w:docPartGallery w:val="Page Numbers (Top of Page)"/>
        <w:docPartUnique/>
      </w:docPartObj>
    </w:sdtPr>
    <w:sdtEndPr/>
    <w:sdtContent>
      <w:p w14:paraId="70AE960E" w14:textId="5E0D747A" w:rsidR="007F28A6" w:rsidRDefault="007F28A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1D8">
          <w:rPr>
            <w:noProof/>
          </w:rPr>
          <w:t>5</w:t>
        </w:r>
        <w:r>
          <w:fldChar w:fldCharType="end"/>
        </w:r>
      </w:p>
    </w:sdtContent>
  </w:sdt>
  <w:p w14:paraId="25599C6D" w14:textId="77777777" w:rsidR="007F28A6" w:rsidRDefault="007F28A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456A"/>
    <w:multiLevelType w:val="multilevel"/>
    <w:tmpl w:val="484AAC72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1" w15:restartNumberingAfterBreak="0">
    <w:nsid w:val="26E43A08"/>
    <w:multiLevelType w:val="hybridMultilevel"/>
    <w:tmpl w:val="7B12C924"/>
    <w:lvl w:ilvl="0" w:tplc="A5AE7330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24C73"/>
    <w:multiLevelType w:val="hybridMultilevel"/>
    <w:tmpl w:val="5462C36E"/>
    <w:lvl w:ilvl="0" w:tplc="BA04C30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710211F"/>
    <w:multiLevelType w:val="multilevel"/>
    <w:tmpl w:val="A7D05D70"/>
    <w:lvl w:ilvl="0">
      <w:start w:val="1"/>
      <w:numFmt w:val="decimal"/>
      <w:lvlText w:val="%1."/>
      <w:lvlJc w:val="left"/>
      <w:pPr>
        <w:ind w:left="283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62BD2C0C"/>
    <w:multiLevelType w:val="multilevel"/>
    <w:tmpl w:val="FB2EE170"/>
    <w:lvl w:ilvl="0">
      <w:start w:val="1"/>
      <w:numFmt w:val="decimal"/>
      <w:lvlText w:val="%1."/>
      <w:lvlJc w:val="left"/>
      <w:pPr>
        <w:ind w:left="283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6E3C548A"/>
    <w:multiLevelType w:val="multilevel"/>
    <w:tmpl w:val="99A83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11C7C7B"/>
    <w:multiLevelType w:val="hybridMultilevel"/>
    <w:tmpl w:val="B3AA0C24"/>
    <w:lvl w:ilvl="0" w:tplc="FF608A86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4B0A96"/>
    <w:multiLevelType w:val="multilevel"/>
    <w:tmpl w:val="A992E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47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854"/>
    <w:rsid w:val="000044F6"/>
    <w:rsid w:val="000056F3"/>
    <w:rsid w:val="00005EC1"/>
    <w:rsid w:val="00006553"/>
    <w:rsid w:val="00013456"/>
    <w:rsid w:val="0001371E"/>
    <w:rsid w:val="0002381D"/>
    <w:rsid w:val="0002562E"/>
    <w:rsid w:val="000270C4"/>
    <w:rsid w:val="00027FBE"/>
    <w:rsid w:val="00030856"/>
    <w:rsid w:val="0003652A"/>
    <w:rsid w:val="00041D19"/>
    <w:rsid w:val="00043EC0"/>
    <w:rsid w:val="00046F7F"/>
    <w:rsid w:val="0005731B"/>
    <w:rsid w:val="00061A03"/>
    <w:rsid w:val="00072D48"/>
    <w:rsid w:val="0007650B"/>
    <w:rsid w:val="00077DA1"/>
    <w:rsid w:val="000A1005"/>
    <w:rsid w:val="000A1504"/>
    <w:rsid w:val="000A34ED"/>
    <w:rsid w:val="000A3DB3"/>
    <w:rsid w:val="000A4D58"/>
    <w:rsid w:val="000A6E42"/>
    <w:rsid w:val="000A7103"/>
    <w:rsid w:val="000B0696"/>
    <w:rsid w:val="000B0D70"/>
    <w:rsid w:val="000B52BC"/>
    <w:rsid w:val="000C1058"/>
    <w:rsid w:val="000C2969"/>
    <w:rsid w:val="000C3A89"/>
    <w:rsid w:val="000C52A4"/>
    <w:rsid w:val="000D2C14"/>
    <w:rsid w:val="000D3F81"/>
    <w:rsid w:val="000D6481"/>
    <w:rsid w:val="000E3315"/>
    <w:rsid w:val="000E77BD"/>
    <w:rsid w:val="001012F7"/>
    <w:rsid w:val="00102530"/>
    <w:rsid w:val="001048C1"/>
    <w:rsid w:val="00105EF4"/>
    <w:rsid w:val="00107A20"/>
    <w:rsid w:val="00112735"/>
    <w:rsid w:val="001133A9"/>
    <w:rsid w:val="001201FE"/>
    <w:rsid w:val="00120B17"/>
    <w:rsid w:val="00124468"/>
    <w:rsid w:val="00133E61"/>
    <w:rsid w:val="0013502A"/>
    <w:rsid w:val="00135702"/>
    <w:rsid w:val="00136059"/>
    <w:rsid w:val="0014298B"/>
    <w:rsid w:val="00142BD2"/>
    <w:rsid w:val="00142CC9"/>
    <w:rsid w:val="00147CA4"/>
    <w:rsid w:val="00160064"/>
    <w:rsid w:val="00161B6A"/>
    <w:rsid w:val="00165099"/>
    <w:rsid w:val="00167A87"/>
    <w:rsid w:val="001723C8"/>
    <w:rsid w:val="00186B6F"/>
    <w:rsid w:val="00193318"/>
    <w:rsid w:val="00196A7C"/>
    <w:rsid w:val="001A0B49"/>
    <w:rsid w:val="001A1088"/>
    <w:rsid w:val="001B5744"/>
    <w:rsid w:val="001C1B22"/>
    <w:rsid w:val="001C2AFB"/>
    <w:rsid w:val="001C5A7C"/>
    <w:rsid w:val="001C64CC"/>
    <w:rsid w:val="001C699B"/>
    <w:rsid w:val="001D2BDE"/>
    <w:rsid w:val="001D7CEF"/>
    <w:rsid w:val="001E1A2B"/>
    <w:rsid w:val="001F2802"/>
    <w:rsid w:val="00204A77"/>
    <w:rsid w:val="002101BF"/>
    <w:rsid w:val="002123B8"/>
    <w:rsid w:val="0022234F"/>
    <w:rsid w:val="002227C3"/>
    <w:rsid w:val="002246EC"/>
    <w:rsid w:val="002261CC"/>
    <w:rsid w:val="002267A0"/>
    <w:rsid w:val="00227386"/>
    <w:rsid w:val="0023056C"/>
    <w:rsid w:val="002329BF"/>
    <w:rsid w:val="00243A7E"/>
    <w:rsid w:val="0024795D"/>
    <w:rsid w:val="0025255D"/>
    <w:rsid w:val="00274E52"/>
    <w:rsid w:val="002777DE"/>
    <w:rsid w:val="002806E8"/>
    <w:rsid w:val="00283F87"/>
    <w:rsid w:val="00297D2C"/>
    <w:rsid w:val="002A138B"/>
    <w:rsid w:val="002A3158"/>
    <w:rsid w:val="002A4E24"/>
    <w:rsid w:val="002A5CE2"/>
    <w:rsid w:val="002A6C0E"/>
    <w:rsid w:val="002B267D"/>
    <w:rsid w:val="002B71EA"/>
    <w:rsid w:val="002C12B5"/>
    <w:rsid w:val="002C3AC4"/>
    <w:rsid w:val="002C7CB2"/>
    <w:rsid w:val="002D04A9"/>
    <w:rsid w:val="002D0B0C"/>
    <w:rsid w:val="002D294D"/>
    <w:rsid w:val="002E17E9"/>
    <w:rsid w:val="002E3729"/>
    <w:rsid w:val="002E39EC"/>
    <w:rsid w:val="002E57A7"/>
    <w:rsid w:val="002F03E2"/>
    <w:rsid w:val="00315CA8"/>
    <w:rsid w:val="00316517"/>
    <w:rsid w:val="00316DBC"/>
    <w:rsid w:val="00322567"/>
    <w:rsid w:val="0032431A"/>
    <w:rsid w:val="00331324"/>
    <w:rsid w:val="00337453"/>
    <w:rsid w:val="00343045"/>
    <w:rsid w:val="00344135"/>
    <w:rsid w:val="00345520"/>
    <w:rsid w:val="00361CB4"/>
    <w:rsid w:val="00362526"/>
    <w:rsid w:val="00363C76"/>
    <w:rsid w:val="00364AF9"/>
    <w:rsid w:val="003658FB"/>
    <w:rsid w:val="00385EB6"/>
    <w:rsid w:val="00387810"/>
    <w:rsid w:val="00390322"/>
    <w:rsid w:val="00390CB5"/>
    <w:rsid w:val="003A3287"/>
    <w:rsid w:val="003A3891"/>
    <w:rsid w:val="003A5F33"/>
    <w:rsid w:val="003A6B67"/>
    <w:rsid w:val="003A7A64"/>
    <w:rsid w:val="003B5A39"/>
    <w:rsid w:val="003B6304"/>
    <w:rsid w:val="003C3C29"/>
    <w:rsid w:val="003C43AC"/>
    <w:rsid w:val="003C4767"/>
    <w:rsid w:val="003E252C"/>
    <w:rsid w:val="003F1284"/>
    <w:rsid w:val="003F6F30"/>
    <w:rsid w:val="00401F3E"/>
    <w:rsid w:val="00406480"/>
    <w:rsid w:val="0041156E"/>
    <w:rsid w:val="0041403A"/>
    <w:rsid w:val="004253D0"/>
    <w:rsid w:val="00427696"/>
    <w:rsid w:val="004349CC"/>
    <w:rsid w:val="00443FCB"/>
    <w:rsid w:val="00451C1F"/>
    <w:rsid w:val="00451C74"/>
    <w:rsid w:val="004659A6"/>
    <w:rsid w:val="0046792C"/>
    <w:rsid w:val="00472419"/>
    <w:rsid w:val="0049111D"/>
    <w:rsid w:val="00494B75"/>
    <w:rsid w:val="00496499"/>
    <w:rsid w:val="004A158A"/>
    <w:rsid w:val="004B0550"/>
    <w:rsid w:val="004B2BC5"/>
    <w:rsid w:val="004B6DF5"/>
    <w:rsid w:val="004C45C3"/>
    <w:rsid w:val="004D106C"/>
    <w:rsid w:val="004D1AE9"/>
    <w:rsid w:val="004D2651"/>
    <w:rsid w:val="004D52AB"/>
    <w:rsid w:val="004D5380"/>
    <w:rsid w:val="004E4FC0"/>
    <w:rsid w:val="004F1FEE"/>
    <w:rsid w:val="004F3F6A"/>
    <w:rsid w:val="004F49E2"/>
    <w:rsid w:val="005026DE"/>
    <w:rsid w:val="00504E69"/>
    <w:rsid w:val="0050576C"/>
    <w:rsid w:val="0050610C"/>
    <w:rsid w:val="005062E5"/>
    <w:rsid w:val="00523FCB"/>
    <w:rsid w:val="00524AB4"/>
    <w:rsid w:val="00527EC8"/>
    <w:rsid w:val="0053016C"/>
    <w:rsid w:val="005332DF"/>
    <w:rsid w:val="0053339C"/>
    <w:rsid w:val="0053406A"/>
    <w:rsid w:val="005373F6"/>
    <w:rsid w:val="0053796F"/>
    <w:rsid w:val="005435A5"/>
    <w:rsid w:val="00543AC0"/>
    <w:rsid w:val="00553DB7"/>
    <w:rsid w:val="00555A05"/>
    <w:rsid w:val="0056325B"/>
    <w:rsid w:val="0056385D"/>
    <w:rsid w:val="005642FC"/>
    <w:rsid w:val="00564F9E"/>
    <w:rsid w:val="0057179D"/>
    <w:rsid w:val="00574487"/>
    <w:rsid w:val="00574E1B"/>
    <w:rsid w:val="005757C6"/>
    <w:rsid w:val="005758B0"/>
    <w:rsid w:val="00576A77"/>
    <w:rsid w:val="00581622"/>
    <w:rsid w:val="00585010"/>
    <w:rsid w:val="00585733"/>
    <w:rsid w:val="00587963"/>
    <w:rsid w:val="00592844"/>
    <w:rsid w:val="00596F1D"/>
    <w:rsid w:val="00597EBD"/>
    <w:rsid w:val="005A06B2"/>
    <w:rsid w:val="005A7145"/>
    <w:rsid w:val="005B0C8D"/>
    <w:rsid w:val="005B2039"/>
    <w:rsid w:val="005C36CA"/>
    <w:rsid w:val="005C5EBD"/>
    <w:rsid w:val="005D3374"/>
    <w:rsid w:val="005D3509"/>
    <w:rsid w:val="005E02BE"/>
    <w:rsid w:val="005E0A3F"/>
    <w:rsid w:val="005E2EAE"/>
    <w:rsid w:val="005F2F99"/>
    <w:rsid w:val="005F3CEC"/>
    <w:rsid w:val="005F5115"/>
    <w:rsid w:val="00611CDC"/>
    <w:rsid w:val="006154B9"/>
    <w:rsid w:val="00622B90"/>
    <w:rsid w:val="00623851"/>
    <w:rsid w:val="006254FE"/>
    <w:rsid w:val="0063031A"/>
    <w:rsid w:val="006314D5"/>
    <w:rsid w:val="00632FBD"/>
    <w:rsid w:val="00637664"/>
    <w:rsid w:val="00640084"/>
    <w:rsid w:val="006416B4"/>
    <w:rsid w:val="006449C3"/>
    <w:rsid w:val="0065016D"/>
    <w:rsid w:val="0065063F"/>
    <w:rsid w:val="00652237"/>
    <w:rsid w:val="006537AC"/>
    <w:rsid w:val="00665E56"/>
    <w:rsid w:val="00670895"/>
    <w:rsid w:val="00674C82"/>
    <w:rsid w:val="00677340"/>
    <w:rsid w:val="00680AAD"/>
    <w:rsid w:val="00691F6C"/>
    <w:rsid w:val="006A322F"/>
    <w:rsid w:val="006A41CF"/>
    <w:rsid w:val="006B2E91"/>
    <w:rsid w:val="006C414E"/>
    <w:rsid w:val="006C5EDB"/>
    <w:rsid w:val="006C6C0A"/>
    <w:rsid w:val="006D5B25"/>
    <w:rsid w:val="006E0DBB"/>
    <w:rsid w:val="006E3DCB"/>
    <w:rsid w:val="006E4D84"/>
    <w:rsid w:val="006F45DB"/>
    <w:rsid w:val="00704470"/>
    <w:rsid w:val="00704969"/>
    <w:rsid w:val="00705FE3"/>
    <w:rsid w:val="007067D1"/>
    <w:rsid w:val="007135A5"/>
    <w:rsid w:val="0072020A"/>
    <w:rsid w:val="007207E5"/>
    <w:rsid w:val="00723240"/>
    <w:rsid w:val="0072402B"/>
    <w:rsid w:val="00733AAD"/>
    <w:rsid w:val="00740176"/>
    <w:rsid w:val="00744D27"/>
    <w:rsid w:val="0074722E"/>
    <w:rsid w:val="00761D22"/>
    <w:rsid w:val="00764263"/>
    <w:rsid w:val="0076606F"/>
    <w:rsid w:val="007725A9"/>
    <w:rsid w:val="00775D12"/>
    <w:rsid w:val="00783F9E"/>
    <w:rsid w:val="00784447"/>
    <w:rsid w:val="007847C3"/>
    <w:rsid w:val="007903E4"/>
    <w:rsid w:val="007916F2"/>
    <w:rsid w:val="00795D27"/>
    <w:rsid w:val="007972D2"/>
    <w:rsid w:val="007A0261"/>
    <w:rsid w:val="007B0FB8"/>
    <w:rsid w:val="007B7C4E"/>
    <w:rsid w:val="007C07F9"/>
    <w:rsid w:val="007C2536"/>
    <w:rsid w:val="007D7821"/>
    <w:rsid w:val="007D7E63"/>
    <w:rsid w:val="007E2E31"/>
    <w:rsid w:val="007F261E"/>
    <w:rsid w:val="007F28A6"/>
    <w:rsid w:val="00802F4E"/>
    <w:rsid w:val="008142D9"/>
    <w:rsid w:val="0081502D"/>
    <w:rsid w:val="00816DA4"/>
    <w:rsid w:val="00821A0F"/>
    <w:rsid w:val="00824802"/>
    <w:rsid w:val="0082589A"/>
    <w:rsid w:val="00826883"/>
    <w:rsid w:val="00844C42"/>
    <w:rsid w:val="0084740C"/>
    <w:rsid w:val="00854230"/>
    <w:rsid w:val="00856FA5"/>
    <w:rsid w:val="00865EC1"/>
    <w:rsid w:val="00867E87"/>
    <w:rsid w:val="00873D6C"/>
    <w:rsid w:val="00882E24"/>
    <w:rsid w:val="00883F2F"/>
    <w:rsid w:val="00890E51"/>
    <w:rsid w:val="00892029"/>
    <w:rsid w:val="0089390B"/>
    <w:rsid w:val="00894F7A"/>
    <w:rsid w:val="008A18CA"/>
    <w:rsid w:val="008A53B2"/>
    <w:rsid w:val="008C2A32"/>
    <w:rsid w:val="008D73A2"/>
    <w:rsid w:val="008F07CF"/>
    <w:rsid w:val="008F20A1"/>
    <w:rsid w:val="008F59C6"/>
    <w:rsid w:val="008F61E5"/>
    <w:rsid w:val="009002BB"/>
    <w:rsid w:val="00902972"/>
    <w:rsid w:val="00911DE2"/>
    <w:rsid w:val="00914EB3"/>
    <w:rsid w:val="00917F41"/>
    <w:rsid w:val="00920918"/>
    <w:rsid w:val="00921272"/>
    <w:rsid w:val="0092522E"/>
    <w:rsid w:val="00927131"/>
    <w:rsid w:val="00930976"/>
    <w:rsid w:val="00934EB0"/>
    <w:rsid w:val="00935AEA"/>
    <w:rsid w:val="00937DAE"/>
    <w:rsid w:val="00944D9D"/>
    <w:rsid w:val="009450F4"/>
    <w:rsid w:val="00952359"/>
    <w:rsid w:val="00955FDF"/>
    <w:rsid w:val="00956B75"/>
    <w:rsid w:val="00961015"/>
    <w:rsid w:val="00963388"/>
    <w:rsid w:val="00970682"/>
    <w:rsid w:val="009717EC"/>
    <w:rsid w:val="00972203"/>
    <w:rsid w:val="0097255A"/>
    <w:rsid w:val="0097289F"/>
    <w:rsid w:val="00977AC0"/>
    <w:rsid w:val="00981060"/>
    <w:rsid w:val="00983A02"/>
    <w:rsid w:val="009941C4"/>
    <w:rsid w:val="009A00ED"/>
    <w:rsid w:val="009A0B56"/>
    <w:rsid w:val="009A4FDA"/>
    <w:rsid w:val="009A575F"/>
    <w:rsid w:val="009B4282"/>
    <w:rsid w:val="009B6530"/>
    <w:rsid w:val="009B6AF0"/>
    <w:rsid w:val="009C3F41"/>
    <w:rsid w:val="009C6844"/>
    <w:rsid w:val="009C68F8"/>
    <w:rsid w:val="009D376E"/>
    <w:rsid w:val="009D7329"/>
    <w:rsid w:val="009E1D5D"/>
    <w:rsid w:val="009E4FA2"/>
    <w:rsid w:val="009E787C"/>
    <w:rsid w:val="009F37DD"/>
    <w:rsid w:val="009F3854"/>
    <w:rsid w:val="009F52CC"/>
    <w:rsid w:val="009F54F1"/>
    <w:rsid w:val="00A0032D"/>
    <w:rsid w:val="00A03E4B"/>
    <w:rsid w:val="00A060D1"/>
    <w:rsid w:val="00A077C3"/>
    <w:rsid w:val="00A10916"/>
    <w:rsid w:val="00A10983"/>
    <w:rsid w:val="00A109F1"/>
    <w:rsid w:val="00A14C06"/>
    <w:rsid w:val="00A216F7"/>
    <w:rsid w:val="00A21756"/>
    <w:rsid w:val="00A27E74"/>
    <w:rsid w:val="00A323BB"/>
    <w:rsid w:val="00A35A22"/>
    <w:rsid w:val="00A45BB1"/>
    <w:rsid w:val="00A61AAA"/>
    <w:rsid w:val="00A67728"/>
    <w:rsid w:val="00A70DF2"/>
    <w:rsid w:val="00A72C14"/>
    <w:rsid w:val="00A72EBD"/>
    <w:rsid w:val="00A80870"/>
    <w:rsid w:val="00A812D7"/>
    <w:rsid w:val="00A85479"/>
    <w:rsid w:val="00AA18F9"/>
    <w:rsid w:val="00AA2C2F"/>
    <w:rsid w:val="00AB3191"/>
    <w:rsid w:val="00AB41D3"/>
    <w:rsid w:val="00AB5027"/>
    <w:rsid w:val="00AC239C"/>
    <w:rsid w:val="00AC3DFE"/>
    <w:rsid w:val="00AC63B4"/>
    <w:rsid w:val="00AC71D0"/>
    <w:rsid w:val="00AC735E"/>
    <w:rsid w:val="00AC7620"/>
    <w:rsid w:val="00AC789B"/>
    <w:rsid w:val="00AD0159"/>
    <w:rsid w:val="00AD1A3F"/>
    <w:rsid w:val="00AD1F5D"/>
    <w:rsid w:val="00AD3286"/>
    <w:rsid w:val="00AE052A"/>
    <w:rsid w:val="00AE340D"/>
    <w:rsid w:val="00AF502E"/>
    <w:rsid w:val="00AF714E"/>
    <w:rsid w:val="00AF7ADA"/>
    <w:rsid w:val="00B03910"/>
    <w:rsid w:val="00B06FD5"/>
    <w:rsid w:val="00B11146"/>
    <w:rsid w:val="00B126CB"/>
    <w:rsid w:val="00B23BD1"/>
    <w:rsid w:val="00B2655B"/>
    <w:rsid w:val="00B2719D"/>
    <w:rsid w:val="00B34C77"/>
    <w:rsid w:val="00B41225"/>
    <w:rsid w:val="00B56CE8"/>
    <w:rsid w:val="00B65A32"/>
    <w:rsid w:val="00B70228"/>
    <w:rsid w:val="00B75D22"/>
    <w:rsid w:val="00B80C04"/>
    <w:rsid w:val="00B81415"/>
    <w:rsid w:val="00B9065F"/>
    <w:rsid w:val="00B976E6"/>
    <w:rsid w:val="00BB2200"/>
    <w:rsid w:val="00BB4E52"/>
    <w:rsid w:val="00BC1438"/>
    <w:rsid w:val="00BC2492"/>
    <w:rsid w:val="00BC77FD"/>
    <w:rsid w:val="00BD1F51"/>
    <w:rsid w:val="00BD3988"/>
    <w:rsid w:val="00BE6612"/>
    <w:rsid w:val="00BE7D92"/>
    <w:rsid w:val="00BF1E7F"/>
    <w:rsid w:val="00BF2E42"/>
    <w:rsid w:val="00BF676D"/>
    <w:rsid w:val="00C03000"/>
    <w:rsid w:val="00C0493C"/>
    <w:rsid w:val="00C17039"/>
    <w:rsid w:val="00C201D1"/>
    <w:rsid w:val="00C2071F"/>
    <w:rsid w:val="00C24C19"/>
    <w:rsid w:val="00C37204"/>
    <w:rsid w:val="00C3774E"/>
    <w:rsid w:val="00C41860"/>
    <w:rsid w:val="00C63E80"/>
    <w:rsid w:val="00C7067E"/>
    <w:rsid w:val="00C70E8F"/>
    <w:rsid w:val="00C81088"/>
    <w:rsid w:val="00C81981"/>
    <w:rsid w:val="00C81D50"/>
    <w:rsid w:val="00C85CA2"/>
    <w:rsid w:val="00C86E91"/>
    <w:rsid w:val="00C9310F"/>
    <w:rsid w:val="00C947A6"/>
    <w:rsid w:val="00CA3887"/>
    <w:rsid w:val="00CA48F4"/>
    <w:rsid w:val="00CA74F0"/>
    <w:rsid w:val="00CB777E"/>
    <w:rsid w:val="00CC016B"/>
    <w:rsid w:val="00CC0B52"/>
    <w:rsid w:val="00CC2244"/>
    <w:rsid w:val="00CC3B9E"/>
    <w:rsid w:val="00CC3F32"/>
    <w:rsid w:val="00CC61A0"/>
    <w:rsid w:val="00CD1316"/>
    <w:rsid w:val="00CE23AB"/>
    <w:rsid w:val="00CF1E31"/>
    <w:rsid w:val="00CF514E"/>
    <w:rsid w:val="00CF73CD"/>
    <w:rsid w:val="00CF79FA"/>
    <w:rsid w:val="00CF7A87"/>
    <w:rsid w:val="00D10B6E"/>
    <w:rsid w:val="00D10C58"/>
    <w:rsid w:val="00D1208A"/>
    <w:rsid w:val="00D17DF8"/>
    <w:rsid w:val="00D209CA"/>
    <w:rsid w:val="00D22E22"/>
    <w:rsid w:val="00D267DE"/>
    <w:rsid w:val="00D3392F"/>
    <w:rsid w:val="00D34261"/>
    <w:rsid w:val="00D36A6E"/>
    <w:rsid w:val="00D37CD9"/>
    <w:rsid w:val="00D44304"/>
    <w:rsid w:val="00D4759E"/>
    <w:rsid w:val="00D50688"/>
    <w:rsid w:val="00D525A6"/>
    <w:rsid w:val="00D6295E"/>
    <w:rsid w:val="00D6506C"/>
    <w:rsid w:val="00D65C26"/>
    <w:rsid w:val="00D72C9A"/>
    <w:rsid w:val="00D7518B"/>
    <w:rsid w:val="00D75AEC"/>
    <w:rsid w:val="00D82CF0"/>
    <w:rsid w:val="00D8576E"/>
    <w:rsid w:val="00D85F6B"/>
    <w:rsid w:val="00D9007F"/>
    <w:rsid w:val="00D90D58"/>
    <w:rsid w:val="00D9765A"/>
    <w:rsid w:val="00DA0415"/>
    <w:rsid w:val="00DB726F"/>
    <w:rsid w:val="00DC4B3F"/>
    <w:rsid w:val="00DC63D5"/>
    <w:rsid w:val="00DC7445"/>
    <w:rsid w:val="00DD71D3"/>
    <w:rsid w:val="00DF3D90"/>
    <w:rsid w:val="00DF6187"/>
    <w:rsid w:val="00E0083C"/>
    <w:rsid w:val="00E10E8D"/>
    <w:rsid w:val="00E15618"/>
    <w:rsid w:val="00E21E63"/>
    <w:rsid w:val="00E34CB7"/>
    <w:rsid w:val="00E362E9"/>
    <w:rsid w:val="00E4013E"/>
    <w:rsid w:val="00E458C7"/>
    <w:rsid w:val="00E5052D"/>
    <w:rsid w:val="00E54A26"/>
    <w:rsid w:val="00E65ABD"/>
    <w:rsid w:val="00E7672D"/>
    <w:rsid w:val="00E866B9"/>
    <w:rsid w:val="00E879D1"/>
    <w:rsid w:val="00E93D69"/>
    <w:rsid w:val="00E97FFA"/>
    <w:rsid w:val="00EA02AD"/>
    <w:rsid w:val="00EA130B"/>
    <w:rsid w:val="00EA707B"/>
    <w:rsid w:val="00EB34C8"/>
    <w:rsid w:val="00EB37F1"/>
    <w:rsid w:val="00EB4AA3"/>
    <w:rsid w:val="00EB613C"/>
    <w:rsid w:val="00EC4A0B"/>
    <w:rsid w:val="00EC65A0"/>
    <w:rsid w:val="00ED11E6"/>
    <w:rsid w:val="00EE01D8"/>
    <w:rsid w:val="00EE093A"/>
    <w:rsid w:val="00EE136A"/>
    <w:rsid w:val="00EE190D"/>
    <w:rsid w:val="00EE2F13"/>
    <w:rsid w:val="00EE656C"/>
    <w:rsid w:val="00EE706E"/>
    <w:rsid w:val="00EF199E"/>
    <w:rsid w:val="00F06BB0"/>
    <w:rsid w:val="00F13E34"/>
    <w:rsid w:val="00F17252"/>
    <w:rsid w:val="00F233B4"/>
    <w:rsid w:val="00F2527B"/>
    <w:rsid w:val="00F32915"/>
    <w:rsid w:val="00F408C5"/>
    <w:rsid w:val="00F4380C"/>
    <w:rsid w:val="00F441FE"/>
    <w:rsid w:val="00F538FA"/>
    <w:rsid w:val="00F562A4"/>
    <w:rsid w:val="00F576CE"/>
    <w:rsid w:val="00F60DF4"/>
    <w:rsid w:val="00F62598"/>
    <w:rsid w:val="00F70BC0"/>
    <w:rsid w:val="00F81FA2"/>
    <w:rsid w:val="00F86A64"/>
    <w:rsid w:val="00F976B9"/>
    <w:rsid w:val="00FB3BB2"/>
    <w:rsid w:val="00FB5205"/>
    <w:rsid w:val="00FB59F6"/>
    <w:rsid w:val="00FC2FD3"/>
    <w:rsid w:val="00FC6772"/>
    <w:rsid w:val="00FD2A68"/>
    <w:rsid w:val="00FD343A"/>
    <w:rsid w:val="00FD3760"/>
    <w:rsid w:val="00FE7336"/>
    <w:rsid w:val="00F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FE7278A"/>
  <w15:docId w15:val="{F592B0DF-5D97-4B67-BB47-69E7F9AFD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sid w:val="0031651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F07CF"/>
    <w:rPr>
      <w:color w:val="808080"/>
    </w:rPr>
  </w:style>
  <w:style w:type="paragraph" w:styleId="Pagrindinistekstas">
    <w:name w:val="Body Text"/>
    <w:basedOn w:val="prastasis"/>
    <w:link w:val="PagrindinistekstasDiagrama"/>
    <w:rsid w:val="00E4013E"/>
    <w:pPr>
      <w:suppressAutoHyphens/>
      <w:spacing w:after="120" w:line="100" w:lineRule="atLeast"/>
    </w:pPr>
    <w:rPr>
      <w:kern w:val="1"/>
      <w:szCs w:val="24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4013E"/>
    <w:rPr>
      <w:kern w:val="1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0A34ED"/>
    <w:pPr>
      <w:ind w:left="720"/>
      <w:contextualSpacing/>
      <w:jc w:val="both"/>
    </w:pPr>
    <w:rPr>
      <w:color w:val="00000A"/>
      <w:sz w:val="20"/>
      <w:lang w:eastAsia="zh-CN"/>
    </w:rPr>
  </w:style>
  <w:style w:type="paragraph" w:styleId="Betarp">
    <w:name w:val="No Spacing"/>
    <w:uiPriority w:val="1"/>
    <w:qFormat/>
    <w:rsid w:val="00B06FD5"/>
    <w:pPr>
      <w:suppressAutoHyphens/>
      <w:jc w:val="both"/>
    </w:pPr>
    <w:rPr>
      <w:color w:val="00000A"/>
      <w:sz w:val="20"/>
      <w:lang w:eastAsia="zh-CN"/>
    </w:rPr>
  </w:style>
  <w:style w:type="table" w:styleId="Lentelstinklelis">
    <w:name w:val="Table Grid"/>
    <w:basedOn w:val="prastojilentel"/>
    <w:uiPriority w:val="39"/>
    <w:rsid w:val="00A80870"/>
    <w:pPr>
      <w:jc w:val="both"/>
    </w:pPr>
    <w:rPr>
      <w:sz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unhideWhenUsed/>
    <w:rsid w:val="009E4FA2"/>
    <w:pPr>
      <w:spacing w:before="100" w:beforeAutospacing="1" w:after="100" w:afterAutospacing="1"/>
    </w:pPr>
    <w:rPr>
      <w:szCs w:val="24"/>
      <w:lang w:eastAsia="lt-LT"/>
    </w:rPr>
  </w:style>
  <w:style w:type="paragraph" w:styleId="Antrats">
    <w:name w:val="header"/>
    <w:basedOn w:val="prastasis"/>
    <w:link w:val="AntratsDiagrama"/>
    <w:unhideWhenUsed/>
    <w:rsid w:val="004D1AE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4D1AE9"/>
  </w:style>
  <w:style w:type="paragraph" w:styleId="Porat">
    <w:name w:val="footer"/>
    <w:basedOn w:val="prastasis"/>
    <w:link w:val="PoratDiagrama"/>
    <w:uiPriority w:val="99"/>
    <w:unhideWhenUsed/>
    <w:rsid w:val="004D1AE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D1AE9"/>
  </w:style>
  <w:style w:type="character" w:styleId="Komentaronuoroda">
    <w:name w:val="annotation reference"/>
    <w:basedOn w:val="Numatytasispastraiposriftas"/>
    <w:uiPriority w:val="99"/>
    <w:semiHidden/>
    <w:unhideWhenUsed/>
    <w:rsid w:val="00AC71D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AC71D0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AC71D0"/>
    <w:rPr>
      <w:sz w:val="20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AC71D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AC71D0"/>
    <w:rPr>
      <w:b/>
      <w:bCs/>
      <w:sz w:val="20"/>
    </w:rPr>
  </w:style>
  <w:style w:type="paragraph" w:styleId="Debesliotekstas">
    <w:name w:val="Balloon Text"/>
    <w:basedOn w:val="prastasis"/>
    <w:link w:val="DebesliotekstasDiagrama"/>
    <w:semiHidden/>
    <w:unhideWhenUsed/>
    <w:rsid w:val="00AC71D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AC71D0"/>
    <w:rPr>
      <w:rFonts w:ascii="Segoe UI" w:hAnsi="Segoe UI" w:cs="Segoe UI"/>
      <w:sz w:val="18"/>
      <w:szCs w:val="18"/>
    </w:rPr>
  </w:style>
  <w:style w:type="character" w:customStyle="1" w:styleId="apple-tab-span">
    <w:name w:val="apple-tab-span"/>
    <w:basedOn w:val="Numatytasispastraiposriftas"/>
    <w:rsid w:val="00D37CD9"/>
  </w:style>
  <w:style w:type="paragraph" w:customStyle="1" w:styleId="a">
    <w:basedOn w:val="prastasis"/>
    <w:next w:val="prastasiniatinklio"/>
    <w:uiPriority w:val="99"/>
    <w:rsid w:val="00316517"/>
    <w:pPr>
      <w:spacing w:before="100" w:beforeAutospacing="1" w:after="100" w:afterAutospacing="1"/>
    </w:pPr>
    <w:rPr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1595">
          <w:marLeft w:val="-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1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47343">
          <w:marLeft w:val="-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30557">
          <w:marLeft w:val="-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00777">
          <w:marLeft w:val="-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4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2571">
          <w:marLeft w:val="-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7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855D8-6758-4DF6-8BB1-30DD6ABC29E0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CCB293C-C98F-46E9-91C5-E8568F29EC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867E2D-F87F-459C-A694-1A731E1055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14CBC3-14BF-4156-B526-8F58AAEE5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1712</Words>
  <Characters>12946</Characters>
  <Application>Microsoft Office Word</Application>
  <DocSecurity>4</DocSecurity>
  <Lines>107</Lines>
  <Paragraphs>29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48a6b9f1-2e5f-480b-a782-605e22af0649</vt:lpstr>
      <vt:lpstr>ee03e331-3349-47d8-b590-fc919fc3a878</vt:lpstr>
    </vt:vector>
  </TitlesOfParts>
  <Company>VKS</Company>
  <LinksUpToDate>false</LinksUpToDate>
  <CharactersWithSpaces>14629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48a6b9f1-2e5f-480b-a782-605e22af0649</dc:title>
  <dc:creator>Razmantienė Audronė</dc:creator>
  <cp:lastModifiedBy>Mano</cp:lastModifiedBy>
  <cp:revision>2</cp:revision>
  <cp:lastPrinted>2021-02-04T14:19:00Z</cp:lastPrinted>
  <dcterms:created xsi:type="dcterms:W3CDTF">2022-03-28T07:47:00Z</dcterms:created>
  <dcterms:modified xsi:type="dcterms:W3CDTF">2022-03-28T07:47:00Z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akymai">
    <vt:lpwstr>Isakymai</vt:lpwstr>
  </property>
  <property fmtid="{D5CDD505-2E9C-101B-9397-08002B2CF9AE}" pid="3" name="ContentTypeId">
    <vt:lpwstr>0x010100D8ECFFBDDA118244861569856C5AC6C3</vt:lpwstr>
  </property>
  <property fmtid="{D5CDD505-2E9C-101B-9397-08002B2CF9AE}" pid="4" name="Komentarai">
    <vt:lpwstr>Koreguota vizavimo metu</vt:lpwstr>
  </property>
</Properties>
</file>